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Kamis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19 Mei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Amridal S.H., M.A.</w:t>
            </w:r>
            <w:r w:rsidR="00E65486">
              <w:t xml:space="preserve"> / </w:t>
            </w:r>
            <w:r w:rsidR="00E65486" w:rsidRPr="00A36B23">
              <w:t>195606151980031009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Yusnedi</w:t>
            </w:r>
            <w:r w:rsidR="00E65486">
              <w:t xml:space="preserve"> / </w:t>
            </w:r>
            <w:r w:rsidR="00E65486" w:rsidRPr="00A36B23">
              <w:t>196008281987031003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 Tingkat Banding, Panitera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Richa Meiliyana Rachmawati A.Md.A.B.</w:t>
            </w:r>
            <w:r w:rsidR="00E65486">
              <w:t xml:space="preserve"> / </w:t>
            </w:r>
            <w:r w:rsidR="00E65486" w:rsidRPr="00A36B23">
              <w:t>199805232020122002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Pengatur (II'c)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Arsiparis Pelaksana, Pengadilan Tinggi Agama Padang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W3-A/1436/PS.00/V/2022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18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Sijunjung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Sijunjung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32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Sijunjung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Azizah Ali S.H.I., M.H.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198210212005022002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Sijunjung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19 Mei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Amridal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Yusnedi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Richa Meiliyana Rachmawati A.Md.A.B.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