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TANJUNG PATI</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W3-A/2822/PS.00/X/2022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24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W3-A/2822/PS.00/X/2022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24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25 Oktober 2022 s.d. 26 Oktober 2022</w:t>
      </w:r>
      <w:r w:rsidRPr="00FD71FE">
        <w:rPr>
          <w:rFonts w:eastAsia="Arial"/>
          <w:bCs/>
        </w:rPr>
        <w:t xml:space="preserve"> di </w:t>
      </w:r>
      <w:r w:rsidR="00232A7E" w:rsidRPr="00232A7E">
        <w:rPr>
          <w:rFonts w:eastAsia="Arial"/>
          <w:bCs/>
        </w:rPr>
        <w:t>Pengadilan Agama Tanjung Pati</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Sulem Ahmad S.H., M.A.,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Masdi S.H., Panitera Muda Hukum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Fadhliamin S.SI., Pranata Komputer Ahli Pertama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Surat Keputusan Pengadilan Agama Tanjung Pati tentang hakim pengawas bidang telah diterbitkan dan sudah ditindaklanjuti pelaksanaannya triwulan I tahun 2022. Akan tetapi laporan Hawasbid dan tindak lanjut belum ditembuskan ke Pengadilan Tinggi Agama Padang</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Sudah diperiksa fisik hard copynya sesuai dengan TPHP. Termasuk untuktriwulan III juga sudah dilaksanakan sebagaimana mestinya.</w:t>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Memahami secara utuh terkait pedoman Zona Integritas PMPZI Mahkamah Agung RI dan PMPZI Mahkamah Agung RI dan PERMENPAN RB Nomor 90 Tahun 2021 dan melaksanakan SKM dilakukan minimal 4 kali dalam setahun atau paling tidak 3 kali setahun</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Sudah diperiksa hard copynya dan telah sesuai dengan laporan tindak lanjut pengawasan (TLHP). SKMsudah dilaksanakan sesuai dengan yang diprogramkan.</w:t>
                  </w:r>
                </w:p>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SIPP
Upload BAS;
Masih ada BAS yang belum diupload ke SIPP. (Perkara Nomor 45/Pdt.G/2022/PA.LK sidang Tanggal 23 Mei 2022)</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BAS sudah di upload kedalam SIPP. Kedepan Panitera Muda, Panitera, Tim Satgas SIPP akan melakukan Croscek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E-Keuangan Perkara
- Saldo Uang Eksekusi
Masih ada Sisa panjar uang eksekusi yang belum diserahkan kepada Pemohon eksekusi (Perkara Nopmor 4/Pdt.Eks/2020/ PA.LK) Pemohon ditegur tambah panjar untuk lelang tanggal 1 Juli 2021 tapi Pemohon tidak menambah panjar);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Ketua dan Panitera dapat menyelesaikan sesuai ketentuan peraturan hukum yang berlaku.</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Dekorum Ruang Sidang I telah memenuhi tetapi Ruang Sidang II belum memenuhi Standarisasi ruang sidang sesuai Surat Edaran Dirjen Badilag Nomor 5538/DJA/HK.05/XI2019 Tanggal 11 November 2019).</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Ketua/Sekretaris dan jajaran terkait mengusulkan anggaran untuk pengadaan peralatan ruang sidang.</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Akta Cerai yang telah diterbitkan belum diambil/diserahkan kepada pihak (data terlampir)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Bagaimana kalau PA. Tanjung Pati berinovasi dalam hal ini dengan tidak menapihkan Ketentuan Peraturan berlaku seperti : Peraturan Pemerintah Nomor 5 Tahun 2019.</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6</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Cover perkara Nomor : 33/Pdt.G/2022/PA.LK., 203/Pdt.G/2021/PA.LK., 589/Pdt.G/2021/LK. dan 674/Pdt.G/2021/PA.LK. untuk minutasi tidak dijahit kecuali pada kulit dalam yang lebarnya setengah.,</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dijahit cover minutasi yang bertanggal dan paraf.</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PHS, Relas panggilan, penetapan perintah Mediasi, BAS dan lain-lain mempergunakan kata “melawan” untuk antara pihak pihak pada perkara nomor 33/Pdt.G/2022/PA.LK, 203/Pdt.G/2021/PA.LK., 589/Pdt.G/2021/PA.LK., dan 674/Pdt.G/2021/PA.LK.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dirubah kata “melawan” menjadi “lawan” untuk semua tempat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Untuk penggunaan kata “melawan” menjadi “lawan” telah dirobah dan telah ditindak lanjuti sebagaima TLHPdan sudah pula diterapkan untuk perkara lainya sebagaimana termuat dalamperkara antara lain No.363/Pdt.G/2022/PA.LK, No.88/Pdt.P/2022/PA.LK,, No.286/Pdt.G/2022/PA.LK.</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Kriteria dalam mempergunakan kata “Ketua Majelis” masih dipergunakan dalam PMH, PHS, BAS dan lain-lain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kata “Ketua Majelis” diganti dengan “Hakim Ketua” pada semua tempat di atas dan yang lain-lain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Terhadap penggunaan “Ketua Majelis” dirobah dengan “Hakim Ketua” telahdindak lanjuti sesuai TLHP. Serta sudah pula diterapkan dalam perkara lainya.</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Penjelasan Hakim Ketua tentang Mediasi tidak sesuai dengan KMA di atas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disesuaikan dengan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Tentang penjelasan mediasi sudah ditindak lanjuti sebagaimana TLHP.Serta sudah pula diterapkan dalam perkara lainya.</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Amar pada penetapan perintah mediasi terbalik antara amar pertama dengan amar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mengikuti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Setelah diteliti amar penetapan perintahmediasi sudah dimuat sesuai laporan tindak lanjut serta telah pula diterapkanpada perkara yang lain.</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Meletakkan laporan mediasi dan pernyataan para pihak tentang laporan mediasi sebelum BAS sidang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melaksanakannya sesuai dengan KMA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 lanjuti dan diletakkan sebagaimana mestinya sesuai dengan laporan tindak lanjut dan telah puladiterapkan untuk perkara lain seperti dalam perkara  No.286/Pdt.G/2022/PA.LK.</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BAS ada yang perlu di Zigzag tetapi tidak dilaksanakan/ sudah di zigzag tidak di renvoi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dilakukan di zigzag/zigzag direnvoi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Setelah diteliti terhadap hal ini sudah sesuai dengan laporan tindaklanjut. Namun temuan seperti ini dalam perkara lain masih banyak ditemukan semisal yang didapati dalam perkara No.286/Pdt.G/2022/PA.LK. padahal perkara sudah diminutasi.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7</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awal putusan disebutkan memeriksa dan mengadili perkara tertentu pada tingkat pertama pada perkara nomor pertama.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Cukup dengan mempergunakan kalimat memeriksa dan mengadili perkara pada tingkat pertama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Untuk penyebutan perkara tertentu sudah diperbaiki sebagaimana laporan tindak lanjut (TLHP) dan sudah tidak ditemukan lagi dalam perkara lain.  </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8</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pertimbangan tentang mediasi tidak menyebutkan dasar hukum KMA Nomor 108 tahun 2016 padahal formulir yang dipergunakan diambil dari KMA tersebut pada semua berkas tersebut.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KMA tersebut disebutkan sebagai dasar hukum dalam pertimbangan tentang mediasi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Pemuatan dasar hukum KMA Nomor 108 tahun 2016 dalam formulir sudahdiperbaiki sebagaimana laporan tindak lanjut dan sudah pula diterapkan dalamperkara lain sebagaimana dimuat dalam perkara No.286/Pdt.G/2022/PA.LK,</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9</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Materai pada alat bukti surat dan surat kuasa tidak ada yang pakai tanggal dan diterima saja oleh Majelis Hakim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Majelis Hakim harus memperhatikan dan memerintahkan yang bersangkutan untuk melengkapi tanggal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Setelah diteliti penanggalan meterai sudah diberi tanggal (sudahdimatikan) sesuai dengan laporan tindak lanjut dan pada perkara lain telah pula ditemukan penaggalan pada meterai sudah diisi. </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10</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mempergunakan kata “Ketua Majelis” dalam putusan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Kata “Ketua Majelis” supaya diganti dengan “Hakim Ketua”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Terhadap penggunaan “Ketua Majelis” dirobah dengan “Hakim Ketua” telahdindak lanjuti sesuai TLHP. Serta sudah pula diterapkan dalam perkara lainya (samadengan temuan pada nomor 2 diatas).</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Putusan diucapkan oleh Hakim Ketua beserta para Hakim Anggota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Harus diucapkan oleh Hakim Ketua dan dihadiri oleh para Hakim Anggota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Terhadap hal ini sudah diperbaiki sebagaimana laporan TLHP dan sudah pula diterapkan pada perkara yang lain dengan mengganti kalimat “beserta” dengan “dan dihadiri”.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perkara Nomor 203/Pdt.G/2021/PA. LK dalam amarnya menetapkan siapa yang berhak atas hadhanah tetapi tidak ada amar memerintahkan untuk penyerahan anak karena dalam pertimbangan hukum tidak disebutkan siapa yang menguasai anak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 dalam pertimbangan di analisa siapa yang menguasai anak sehingga dapat ditentukan apakah perlu perintah penyerahan anak atau tidak</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diperiksa pada perkara lain tentang masalah hadhanah, mengenai pertimbangan tentang penyerahan anak pada perkara No.286/Pdt.G/2022, sudah diterapkan sesuai dengan ketentuan dalam hal ini tidak ada perintah penyerahan anak karena anak sudah berada pada pihak yangmemegang hak hadhanah.</w:t>
                  </w:r>
                </w:p>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reviu dan update seluruh SOP dan dilakukan monitoring dan evaluasi, jika terdapat perubahan silahkan SOP tersebut diubah sesuai dengan aturan dan kondisi terkini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Sudah dilakukan reviu SOP sesuai dengan rekomendasi;</w:t>
                  </w:r>
                </w:p>
                <w:p>
                  <w:pPr>
                    <w:pStyle w:val="StyleBulletNumber"/>
                    <w:numPr>
                      <w:ilvl w:val="0"/>
                      <w:numId w:val="1"/>
                    </w:numPr>
                    <w:rPr/>
                  </w:pPr>
                  <w:r>
                    <w:rPr/>
                    <w:t xml:space="preserve">SOP seharusnya dapat direviu kembali, jika terdapat peraturan-peraturan atau juknis terbaru, seperti KMA 2-144/KMA/VIII/2022 tentang standar pelayanan informasi publik di pengadilan, maka SOP-SOP terkait hal tersebut harus direviu sesuai dengan peraturan terbaru.</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ditindaklanjuti sesuai dengan rekomendasi, eviden terlampir dan telah menjawab dari temuan pengawasan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Buku telah dimasukan ke aplikasi perpustakaan slim tetapi belum semuanya terinput baru 1/3 dari total keseluruhan buku;
Peminjaman telah menggunakan SLim</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Sebaiknya dibuatkan jadwal penginputan secara berkala atau bertahap sehingga tidak memberatkan jika diinput secara keseluruhan buku dalam satu waktu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ditindaklanjuti sesuai dengan rekomendasi, eviden terlampir dan telah menjawab dari temuan pengawasan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Kondisi Barang Rusak berat yang terdaftar dalam SIMAK BMN belum diajukan penghapusan (untuk segera diajukan penghapusan)
2. Stock opname ATK Pembebasan biaya Perkara belum dilaksanakan 3 (tiga) bulan sekali dan dilaporkan kepada Sekretaris dan Panitera (DIPA 04)</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Untuk diajukan Pengapusan ulang sehingga barang rusak berat yang tercatat didalam SIMAK BMN dapat dihapuskan 
2. Untuk dilaksanakan sesuai dengan petunjuk teknis badilag.</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Telah diajukan Pengapusan ulang (PSP) sehingga barang rusak berat yang tercatat didalam SIMAK BMN dapat dihapuskan (terlampir dalam eviden);</w:t>
                  </w:r>
                </w:p>
                <w:p>
                  <w:pPr>
                    <w:pStyle w:val="StyleBulletNumber"/>
                    <w:numPr>
                      <w:ilvl w:val="0"/>
                      <w:numId w:val="1"/>
                    </w:numPr>
                    <w:rPr/>
                  </w:pPr>
                  <w:r>
                    <w:rPr/>
                    <w:t xml:space="preserve">Stock opname ATK Pembebasan biaya Perkara telah dilaksanakan 3 (tiga) bulan sekali (terlampir dalam eviden).</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Rapat evaluasi per 3 bulan sudah ada, tetapi format evaluasinya belum sesuai aturan terbaru, belum terdapat penilaiannya per 3 bulan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Rapat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sesuai dengan SK SEKMA Nomor : 811/SEK/SK/VIII/2021, kemudian dilaksanakan Rapat Monitoring dan evaluasi setiap 3 (tiga) bulan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update Informasi pada website/ medsos satker berupa Program Kerja (sudah diupdate kemarin), Laporan Keuangan, Daftar aset dan inventaris, informasi pengadaan barang dan jasa.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laporan keuangan tidak perlu menunggu audited untuk diupload pada website, jika perlua keduanya diupload baik yang audited maupun unaudited. Dicek secara berkala informasi website pada Pengadilan Agama Tanjung Pati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dan di update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Untuk beberapa konten pada website telah diupdate;</w:t>
                  </w:r>
                </w:p>
                <w:p>
                  <w:pPr>
                    <w:pStyle w:val="StyleBulletNumber"/>
                    <w:numPr>
                      <w:ilvl w:val="0"/>
                      <w:numId w:val="1"/>
                    </w:numPr>
                    <w:rPr/>
                  </w:pPr>
                  <w:r>
                    <w:rPr/>
                    <w:t xml:space="preserve">Daftar aset dan inventaris, Laporan keuangan 2021 sudah diupload, namun updating website harus dilaksanakan secara berkelanjutan, seharusnya 2022 sudah diupload, untuk laporan keuangan semester 1 tahun 2022 dan laporan aset dan inventaris tahun 2022.</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Monev setiap 3 (tiga) bulan terhadap perjanjian kinerja PPNPN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sesuai dengan SK SEKMA Nomor : 811/SEK/SK/VIII/2021, kemudian dilaksanakan Rapat Monitoring dan evaluasi setiap 3 (tiga) bulan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Dokumen pertanggungjawaban keuangan belum tersusun berurutan per SPM per bulan, masih terpisah
2. Melengkapi dokumen BKU, dll, belum terlihat dalam arsip dan belum ditandatangani Bendahara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Dokumen pertanggungjawaban keuangan telah tersusun berurutan per SPM per bulan;</w:t>
                  </w:r>
                </w:p>
                <w:p>
                  <w:pPr>
                    <w:pStyle w:val="StyleBulletNumber"/>
                    <w:numPr>
                      <w:ilvl w:val="0"/>
                      <w:numId w:val="1"/>
                    </w:numPr>
                    <w:rPr/>
                  </w:pPr>
                  <w:r>
                    <w:rPr/>
                    <w:t xml:space="preserve">Telah melengkapi dokumen BKU, dll, belum terlihat dalam arsip dan telah ditandatangani Bendahara.</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Keuangan Tahunan beserta data dukung belum terjilid rapi, belum tersusun, belum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Sebaiknya laporan keuangan dibuatkan keduanya, yaitu laporan keuangan unaudited dan laporan keuangan audited. Untuk segera melengkapi dan menjilid laporan keuangan tahun 2021 unaudited</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Laporan Keuangan Tahunan beserta data dukung telah terjilid rapi dan lengkap</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Aplikasi E-Bima 2021 belum diisi lengkap dan 2022 juga belum diisi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updating data dan kelengkapan dokumen lainnya pada aplikasi e-BIMA sesuai dengan petunjuk Surat SEKMA dan pedoman terbaru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Aplikasi E-Bima 2021 telah diisi lengkap dan 2022 juga telah diisi lengkap (terlampir bukti dalam eviden)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Satker belum melakukan Monev program kerja, berkaitan dengan capaian, target, realisasi yang telah disusun dalam program kerja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Monev program kerja, berkaitan dengan capaian, target, realisasi, dan hal lain yang terkait yang telah disusun dalam program kerja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w:t>
                  </w:r>
                </w:p>
                <w:p>
                  <w:pPr>
                    <w:pStyle w:val="StyleBulletNumber"/>
                    <w:numPr>
                      <w:ilvl w:val="0"/>
                      <w:numId w:val="1"/>
                    </w:numPr>
                    <w:rPr/>
                  </w:pPr>
                  <w:r>
                    <w:rPr/>
                    <w:t xml:space="preserve">Untuk dilakukan monev kinerja terkait juga dengan penilaian SAKIP, Monev kinerja berisi Perjanjian kinerja IKU tiap bagian dilakukan tiap triwulan terkait capaian target dan realisasinya;</w:t>
                  </w:r>
                </w:p>
                <w:p>
                  <w:pPr>
                    <w:pStyle w:val="StyleBulletNumber"/>
                    <w:numPr>
                      <w:ilvl w:val="0"/>
                      <w:numId w:val="1"/>
                    </w:numPr>
                    <w:rPr/>
                  </w:pPr>
                  <w:r>
                    <w:rPr/>
                    <w:t xml:space="preserve">Buat rangkuman hasil Monev Triwulan berjalan berisi (Bagian, target belum tercapai, kendala, rekomendasi tindak lanjut).</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updating website secara berkala, jika terdapat perubahan-perubahan data dan informasi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StyleBulletNumber"/>
                    <w:numPr>
                      <w:ilvl w:val="0"/>
                      <w:numId w:val="1"/>
                    </w:numPr>
                    <w:rPr/>
                  </w:pPr>
                  <w:r>
                    <w:rPr/>
                    <w:t xml:space="preserve">Konten website sudah diupdate, namun masih ditemukan konten website yang tidak dilakukan updating secara berkala;</w:t>
                  </w:r>
                </w:p>
                <w:p>
                  <w:pPr>
                    <w:pStyle w:val="StyleBulletNumber"/>
                    <w:numPr>
                      <w:ilvl w:val="0"/>
                      <w:numId w:val="1"/>
                    </w:numPr>
                    <w:rPr/>
                  </w:pPr>
                  <w:r>
                    <w:rPr/>
                    <w:t xml:space="preserve">Untuk beberapa konten yang ditemukan tidak update, datanya dapat dilihat pada aplikasi simtalak badilag pada penilaian triwulan III</w:t>
                  </w:r>
                </w:p>
                <w:p>
                  <w:r>
                    <w:t xml:space="preserve"/>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Panitera sebagai PPID dan Ketua sebagai atasan PPID/Pimpinan harus membuat laporan meja informasi sesuai ketentuan yang berlaku.</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pPr>
                    <w:pStyle w:val="StyleBulletNumber"/>
                    <w:numPr>
                      <w:ilvl w:val="0"/>
                      <w:numId w:val="1"/>
                    </w:numPr>
                    <w:rPr/>
                  </w:pPr>
                  <w:r>
                    <w:rPr/>
                    <w:t xml:space="preserve">Rekomendasi sudah dilaksanakan, namun untuk kedepannya disesuaikan format laporan pelayanan informasi sesuai dengan SK KMA NOMOR 2-144_KMA_SK_VIII_2022;</w:t>
                  </w:r>
                </w:p>
                <w:p>
                  <w:pPr>
                    <w:pStyle w:val="StyleBulletNumber"/>
                    <w:numPr>
                      <w:ilvl w:val="0"/>
                      <w:numId w:val="1"/>
                    </w:numPr>
                    <w:rPr/>
                  </w:pPr>
                  <w:r>
                    <w:rPr/>
                    <w:t xml:space="preserve">Jam pelayanan, Radius Panggilan, dan Rincian Biaya Perkara belum ada di ruangan PTSP (untuk dapat ditindaklanjuti).</w:t>
                  </w:r>
                </w:p>
                <w:p>
                  <w:r>
                    <w:t xml:space="preserve"/>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tersedia lengkap diruang Pelayanan Pos Bakum , kelengkapan Administrasi ( Struktur Pos Bakum, Instrumen, Register dan label Pos Layanan dan Papan nama Petugas),</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Pimpinan/Sekretaris memberikan arahan dan pembinaan kepada petugas serta melakukan croscek tentang kelengkapan administrasi pos bakum.</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Kelengkapan Administrasi sudah dilengkapi sesuai dengan Laporan Hasil Pengawasan dari Hatibinwasda.</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dilaksanakan sesuai dengan rekomendasi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Aplikasi Notifikasi Perkara Belum tersedia/Tersedia belum berfungsi efektif. 
  (Sedang dalam proses penyediaan dan pengaktifan)
- Aplikasi Basis Data Terpadu Kemiskinan Belum berfungsi efektif (Karena permasalahan dari Dukcapil).</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 dan Panitera serta jajarannya berupaya menyegerakan dengan selalu koordinasi pihak terkait.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Dekorum Ruang Sidang I telah memenuhi Standarisasi ruang sidang sesuai Surat Edaran Dirjen Badilag Nomor 5538/DJA/HK.05/XI2019 Tanggal 11 November 2019).sedangkan Ruang Sidang II masih ada kekurangan seperti Perangkat Telekompren,</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Ketua/Sekretaris dan jajaran terkait mengusulkan anggaran untuk pengadaan peralatan ruang sidang.</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dilaksanakan</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5</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Masih ada Akta Cerai yang telah diterbitkan belum diambil/diserahkan kepada pihak (data terlampir)</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Bagaimana kalau PA. Tanjung Pati berinovasi dalam hal ini dengan tidak menapihkan Ketentuan Peraturan berlaku seperti : Peraturan Pemerintah Nomor 5 Tahun 2019.</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pPr>
                    <w:pStyle w:val="StyleBulletNumber"/>
                    <w:numPr>
                      <w:ilvl w:val="0"/>
                      <w:numId w:val="1"/>
                    </w:numPr>
                    <w:rPr/>
                  </w:pPr>
                  <w:r>
                    <w:rPr/>
                    <w:t xml:space="preserve">Belum dilaksanakan, untuk dapat ditindaklanjuti</w:t>
                  </w:r>
                </w:p>
                <w:p>
                  <w:pPr>
                    <w:pStyle w:val="StyleBulletNumber"/>
                    <w:numPr>
                      <w:ilvl w:val="0"/>
                      <w:numId w:val="1"/>
                    </w:numPr>
                    <w:rPr/>
                  </w:pPr>
                  <w:r>
                    <w:rPr/>
                    <w:t xml:space="preserve">Evidennya dapat diupload kembali pada aplikasi ini pada menu tindak lanjut, kemudian pada kolom komentar untuk dapat diinput narasi bahwasanya telah dilaksanakan</w:t>
                  </w:r>
                </w:p>
                <w:p>
                  <w:r>
                    <w:t xml:space="preserve"/>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6</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Tempat berwuduk bercampur laki dan perempuan dn sandal menuju tempat wuduk juga tidak ada.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dibuat tempat wuduk terpisah antara laki dan perempuan dan disedikan sandal untuk kesana.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7</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ruang tunggu ada galon minuman tapi tidak ada airnya.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dilengkapi pelayanan air minum tersebut.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Tanjung Pati</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Tanjung Pati</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26 Oktober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Sulem Ahmad S.H.,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Masdi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Fadhliamin S.SI.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