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fisik hard copynya sesuai dengan TPHP. Termasuk untuktriwulan III juga sudah dilaksanakan sebagaimana mestinya.</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hard copynya dan telah sesuai dengan laporan tindak lanjut pengawasan (TLHP). SKMsudah dilaksanakan sesuai dengan yang diprogramkan.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penggunaan kata “melawan” menjadi “lawan” telah dirobah dan telah ditindak lanjuti sebagaima TLHPdan sudah pula diterapkan untuk perkara lainya sebagaimana termuat dalamperkara antara lain No.363/Pdt.G/2022/PA.LK, No.88/Pdt.P/2022/PA.LK,,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Tentang penjelasan mediasi sudah ditindak lanjuti sebagaimana TLHP.Serta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amar penetapan perintahmediasi sudah dimuat sesuai laporan tindak lanjut serta telah pula diterapkanpada perkara yang lain.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dan diletakkan sebagaimana mestinya sesuai dengan laporan tindak lanjut dan telah puladiterapkan untuk perkara lain seperti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terhadap hal ini sudah sesuai dengan laporan tindaklanjut. Namun temuan seperti ini dalam perkara lain masih banyak ditemukan semisal yang didapati dalam perkara No.286/Pdt.G/2022/PA.LK. padahal perkara sudah diminutasi.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penyebutan perkara tertentu sudah diperbaiki sebagaimana laporan tindak lanjut (TLHP) dan sudah tidak ditemukan lagi dalam perkara lain.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Pemuatan dasar hukum KMA Nomor 108 tahun 2016 dalam formulir sudahdiperbaiki sebagaimana laporan tindak lanjut dan sudah pula diterapkan dalamperkara lain sebagaimana dimuat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penanggalan meterai sudah diberi tanggal (sudahdimatikan) sesuai dengan laporan tindak lanjut dan pada perkara lain telah pula ditemukan penaggalan pada meterai sudah diisi.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 (samadengan temuan pada nomor 2 diatas).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hal ini sudah diperbaiki sebagaimana laporan TLHP dan sudah pula diterapkan pada perkara yang lain dengan mengganti kalimat “beserta” dengan “dan dihadiri”.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p>
            <w:r>
              <w:t xml:space="preserve">Setelah memeriksa dan meneliti berkas perkara pasca pengawasan yaitu: Perkara No.363/Pdt.G/2022/PA.LK, No.88/Pdt.G/2022/PA.LK, dan Perkara No.363/Pdt.G/2022/PA.LK diberikan pembinaan sbb :</w:t>
            </w:r>
          </w:p>
          <w:p>
            <w:r>
              <w:t xml:space="preserve"/>
            </w:r>
          </w:p>
          <w:p>
            <w:pPr>
              <w:pStyle w:val="StyleBulletNumber"/>
              <w:numPr>
                <w:ilvl w:val="0"/>
                <w:numId w:val="1"/>
              </w:numPr>
              <w:rPr/>
            </w:pPr>
            <w:r>
              <w:rPr/>
              <w:t xml:space="preserve">Didalam PHS Pihak Tergugat sudah dibolehkan mengajukan jawaban dan membawa saksi-saksi pada sidang pertama. Seharusnya pada sidang pertama  untuk perkara cerai gugat/cerai talak terlebih dahulu diberikan kesempatan kepada pihak untuk melakukan mediasi dengan bantuan mediator. Untuk mengatasinya agar disediakan blanko PHS yang disesuaikan dengan perkara yang diajukan, termasuk juga untuk relaas yang disesuaikan pula dengan PHS ;</w:t>
            </w:r>
          </w:p>
          <w:p>
            <w:pPr>
              <w:pStyle w:val="StyleBulletNumber"/>
              <w:numPr>
                <w:ilvl w:val="0"/>
                <w:numId w:val="1"/>
              </w:numPr>
              <w:rPr/>
            </w:pPr>
            <w:r>
              <w:rPr/>
              <w:t xml:space="preserve">Didalam PMH jika terjadi perubahan majelis, maka didalam konsideran dijelaskan alasan terjadi perubahan majelis itu;</w:t>
            </w:r>
          </w:p>
          <w:p>
            <w:pPr>
              <w:pStyle w:val="StyleBulletNumber"/>
              <w:numPr>
                <w:ilvl w:val="0"/>
                <w:numId w:val="1"/>
              </w:numPr>
              <w:rPr/>
            </w:pPr>
            <w:r>
              <w:rPr/>
              <w:t xml:space="preserve">Didalam penundaan sidang, alasan penundaan dibuat sesuai kondisi yang seharusnya tanpa pengaruh prediksi kalau seandainya yang dipanggil tidak hadir. Dan jika ternyata yang dipanggil tidak hadir barulah dimuat acara selanjutnya didalam BAS;</w:t>
            </w:r>
          </w:p>
          <w:p>
            <w:pPr>
              <w:pStyle w:val="StyleBulletNumber"/>
              <w:numPr>
                <w:ilvl w:val="0"/>
                <w:numId w:val="1"/>
              </w:numPr>
              <w:rPr/>
            </w:pPr>
            <w:r>
              <w:rPr/>
              <w:t xml:space="preserve">Agar sebelum menanda-tangani berita acara sidang diperiksa kembali sehingga tidak diketemukan lagi kesalasan pada copy paste;</w:t>
            </w:r>
          </w:p>
          <w:p>
            <w:pPr>
              <w:pStyle w:val="StyleBulletNumber"/>
              <w:numPr>
                <w:ilvl w:val="0"/>
                <w:numId w:val="1"/>
              </w:numPr>
              <w:rPr/>
            </w:pPr>
            <w:r>
              <w:rPr/>
              <w:t xml:space="preserve">Untuk perkara yang disidangkan dengan Hakim tunggal, tidak lagi dipergunakan konsideran dengan Ketua Majelis ataupun Hakim Ketua;</w:t>
            </w:r>
          </w:p>
          <w:p>
            <w:pPr>
              <w:pStyle w:val="StyleBulletNumber"/>
              <w:numPr>
                <w:ilvl w:val="0"/>
                <w:numId w:val="1"/>
              </w:numPr>
              <w:rPr/>
            </w:pPr>
            <w:r>
              <w:rPr/>
              <w:t xml:space="preserve">Sebelum meminutasi perkara agar Ketua Majelis atau hakim anggota yang ditunjuk untuk memeriksa dan meneliti ulang kembali berkas perkara tersebut;</w:t>
            </w:r>
          </w:p>
          <w:p>
            <w:r>
              <w:t xml:space="preserve"/>
            </w:r>
          </w:p>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