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TANJUNG PATI</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W3-A/2822/PS.00/X/2022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24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Wakil 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W3-A/2822/PS.00/X/2022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24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Wakil 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2 (dua)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25 Oktober 2022 s.d. 26 Oktober 2022</w:t></w:r><w:r w:rsidRPr="00FD71FE"><w:rPr><w:rFonts w:eastAsia="Arial"/><w:bCs/></w:rPr><w:t xml:space="preserve"> di </w:t></w:r><w:r w:rsidR="00232A7E" w:rsidRPr="00232A7E"><w:rPr><w:rFonts w:eastAsia="Arial"/><w:bCs/></w:rPr><w:t>Pengadilan Agama Tanjung Pati</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Sulem Ahmad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H. Masdi S.H., Panitera Muda Hukum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Fadhliamin S.SI., Pranata Komputer Ahli Pertama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Surat Keputusan Pengadilan Agama Tanjung Pati tentang hakim pengawas bidang telah diterbitkan dan sudah ditindaklanjuti pelaksanaannya triwulan I tahun 2022. Akan tetapi laporan Hawasbid dan tindak lanjut belum ditembuskan ke Pengadilan Tinggi Agama Padang</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fisik hard copynya sesuai dengan TPHP. Termasuk untuktriwulan III juga sudah dilaksanakan sebagaimana mestinya.</w:t></w:r></w:p></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Memahami secara utuh terkait pedoman Zona Integritas PMPZI Mahkamah Agung RI dan PMPZI Mahkamah Agung RI dan PERMENPAN RB Nomor 90 Tahun 2021 dan melaksanakan SKM dilakukan minimal 4 kali dalam setahun atau paling tidak 3 kali setahun</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hard copynya dan telah sesuai dengan laporan tindak lanjut pengawasan (TLHP). SKMsudah dilaksanakan sesuai dengan yang diprogramkan.</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Upload BAS;
Masih ada BAS yang belum diupload ke SIPP. (Perkara Nomor 45/Pdt.G/2022/PA.LK sidang Tanggal 23 Mei 2022)</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BAS sudah di upload kedalam SIPP. Kedepan Panitera Muda, Panitera, Tim Satgas SIPP akan melakukan Croscek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evaluasi tindak lanjut temuan telah sesuai dengan rekomendasi Pengawas dan juga telah di implementasikan pelaksanaannya sampai monev berlangsung</w:t></w:r></w:p><w:p><w:r><w:t xml:space='preserve'>Efiden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telah dilaksanakan sesuai dengan rekomendasi pengawas dan efiden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E-Keuangan Perkara
- Saldo Uang Eksekusi
Masih ada Sisa panjar uang eksekusi yang belum diserahkan kepada Pemohon eksekusi (Perkara Nopmor 4/Pdt.Eks/2020/ PA.LK) Pemohon ditegur tambah panjar untuk lelang tanggal 1 Juli 2021 tapi Pemohon tidak menambah panjar);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 dan Panitera dapat menyelesaikan sesuai ketentuan peraturan hukum yang berlaku.</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Roman";mso-bidi-theme-font:minor-bidi;}Hasil Monitoring Evaluasi tindak lanjut Pengawasan bahwa  Sisa panjar uang eksekusi yang belum diserahkan kepadaPemohon eksekusi belum ditindak lanjuti sesuai dengan rekomendasi Pengawas.</w:t></w:r></w:p><w:p><w:r><w:t xml:space='preserve'></w:t></w:r></w:p><w:p><w:r><w:t xml:space='preserve'>Sebagaimana efiden Buku Jurnal Keuangan tingkat Eksekusi Haktanggung yang masih bersisa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Dekorum Ruang Sidang I telah memenuhi tetapi Ruang Sidang II belum memenuhi Standarisasi ruang sidang sesuai Surat Edaran Dirjen Badilag Nomor 5538/DJA/HK.05/XI2019 Tanggal 11 November 2019).</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Ketua/Sekretaris dan jajaran terkait mengusulkan anggaran untuk pengadaan peralatan ruang sidang.</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temuan Pengawasan Pengadilan Agama Tanjung Pati telah menindak lanjuti hasil temuan dengan mengusulkan anggaran untuk pengadaan peralatan ruang sidang.</w:t></w:r></w:p><w:p><w:r><w:t xml:space='preserve'>Eviven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5</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ada Akta Cerai yang telah diterbitkan belum diambil/diserahkan kepada pihak (data terlampir)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PengawasanAkta Cerai yang telah diterbitkan belum diambil/diserahkan kepada pihak belum ditindak lanjuti sebagaimana rekomendasi Pengawas</w:t></w:r></w:p><w:p><w:r><w:t xml:space='preserve'></w:t></w:r></w:p><w:p><w:r><w:t xml:space='preserve'>Eviden Sample Akta yang belum diambil 50 perkara Akta Cerai yang telah dikeluarkan pada bulan terakhir  yang belum diambil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6</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Cover perkara Nomor : 33/Pdt.G/2022/PA.LK., 203/Pdt.G/2021/PA.LK., 589/Pdt.G/2021/LK. dan 674/Pdt.G/2021/PA.LK. untuk minutasi tidak dijahit kecuali pada kulit dalam yang lebarnya setengah.,</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Supaya dijahit cover minutasi yang bertanggal dan paraf.</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tentang Cover perkara  untuk minutasi tidakdijahit kecuali pada kulit dalam yang lebarnya setengah belum ditindak lanjuti sesuai dengan rekomendasi Pengawas</w:t></w:r></w:p><w:p><w:r><w:t xml:space='preserve'></w:t></w:r></w:p><w:p><w:r><w:t xml:space='preserve'>Efiden terlampir</w:t></w:r></w:p><w:p><w:r><w:t xml:space='preserve'></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Dalam PHS, Relas panggilan, penetapan perintah Mediasi, BAS dan lain-lain mempergunakan kata “melawan” untuk antara pihak pihak pada perkara nomor 33/Pdt.G/2022/PA.LK, 203/Pdt.G/2021/PA.LK., 589/Pdt.G/2021/PA.LK., dan 674/Pdt.G/2021/PA.LK.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dirubah kata “melawan” menjadi “lawan” untuk semua tempat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penggunaan kata “melawan” menjadi “lawan” telah dirobah dan telah ditindak lanjuti sebagaima TLHPdan sudah pula diterapkan untuk perkara lainya sebagaimana termuat dalamperkara antara lain No.363/Pdt.G/2022/PA.LK, No.88/Pdt.P/2022/PA.LK,,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Kriteria dalam mempergunakan kata “Ketua Majelis” masih dipergunakan dalam PMH, PHS, BAS dan lain-lain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kata “Ketua Majelis” diganti dengan “Hakim Ketua” pada semua tempat di atas dan yang lain-lain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Penjelasan Hakim Ketua tentang Mediasi tidak sesuai dengan KMA di atas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disesuaikan dengan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Tentang penjelasan mediasi sudah ditindak lanjuti sebagaimana TLHP.Serta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Amar pada penetapan perintah mediasi terbalik antara amar pertama dengan amar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mengikuti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amar penetapan perintahmediasi sudah dimuat sesuai laporan tindak lanjut serta telah pula diterapkanpada perkara yang lain.</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Meletakkan laporan mediasi dan pernyataan para pihak tentang laporan mediasi sebelum BAS sidang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melaksanakannya sesuai dengan KMA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dan diletakkan sebagaimana mestinya sesuai dengan laporan tindak lanjut dan telah puladiterapkan untuk perkara lain seperti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6</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BAS ada yang perlu di Zigzag tetapi tidak dilaksanakan/ sudah di zigzag tidak di renvoi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dilakukan di zigzag/zigzag direnvoi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terhadap hal ini sudah sesuai dengan laporan tindaklanjut. Namun temuan seperti ini dalam perkara lain masih banyak ditemukan semisal yang didapati dalam perkara No.286/Pdt.G/2022/PA.LK. padahal perkara sudah diminutasi.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7</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awal putusan disebutkan memeriksa dan mengadili perkara tertentu pada tingkat pertama pada perkara nomor pertama.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Cukup dengan mempergunakan kalimat memeriksa dan mengadili perkara pada tingkat pertama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penyebutan perkara tertentu sudah diperbaiki sebagaimana laporan tindak lanjut (TLHP) dan sudah tidak ditemukan lagi dalam perkara lain.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8</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pertimbangan tentang mediasi tidak menyebutkan dasar hukum KMA Nomor 108 tahun 2016 padahal formulir yang dipergunakan diambil dari KMA tersebut pada semua berkas tersebut.</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KMA tersebut disebutkan sebagai dasar hukum dalam pertimbangan tentang mediasi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Pemuatan dasar hukum KMA Nomor 108 tahun 2016 dalam formulir sudahdiperbaiki sebagaimana laporan tindak lanjut dan sudah pula diterapkan dalamperkara lain sebagaimana dimuat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9</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Materai pada alat bukti surat dan surat kuasa tidak ada yang pakai tanggal dan diterima saja oleh Majelis Hakim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Majelis Hakim harus memperhatikan dan memerintahkan yang bersangkutan untuk melengkapi tanggal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penanggalan meterai sudah diberi tanggal (sudahdimatikan) sesuai dengan laporan tindak lanjut dan pada perkara lain telah pula ditemukan penaggalan pada meterai sudah diisi.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10</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mempergunakan kata “Ketua Majelis” dalam putusan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Kata “Ketua Majelis” supaya diganti dengan “Hakim Ketua”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 (samadengan temuan pada nomor 2 diatas).</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Putusan diucapkan oleh Hakim Ketua beserta para Hakim Anggota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Harus diucapkan oleh Hakim Ketua dan dihadiri oleh para Hakim Anggota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hal ini sudah diperbaiki sebagaimana laporan TLHP dan sudah pula diterapkan pada perkara yang lain dengan mengganti kalimat “beserta” dengan “dan dihadiri”.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Nomor 203/Pdt.G/2021/PA. LK dalam amarnya menetapkan siapa yang berhak atas hadhanah tetapi tidak ada amar memerintahkan untuk penyerahan anak karena dalam pertimbangan hukum tidak disebutkan siapa yang menguasai anak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 dalam pertimbangan di analisa siapa yang menguasai anak sehingga dapat ditentukan apakah perlu perintah penyerahan anak atau tidak</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reviu dan update seluruh SOP dan dilakukan monitoring dan evaluasi, jika terdapat perubahan silahkan SOP tersebut diubah sesuai dengan aturan dan kondisi terkini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Sudah dilakukan reviu SOP sesuai dengan rekomendasi;</w:t></w:r></w:p><w:p><w:pPr><w:pStyle w:val='StyleBulletNumber'/><w:numPr><w:ilvl w:val='0'/><w:numId w:val='1'/></w:numPr><w:rPr></w:rPr></w:pPr><w:r><w:rPr></w:rPr><w:t xml:space='preserve'>SOP seharusnya dapat direviu kembali, jika terdapat peraturan-peraturan atau juknis terbaru, seperti KMA 2-144/KMA/VIII/2022 tentang standar pelayanan informasi publik di pengadilan, maka SOP-SOP terkait hal tersebut harus direviu sesuai dengan peraturan terbaru.</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Buku telah dimasukan ke aplikasi perpustakaan slim tetapi belum semuanya terinput baru 1/3 dari total keseluruhan buku;
Peminjaman telah menggunakan SLim</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dibuatkan jadwal penginputan secara berkala atau bertahap sehingga tidak memberatkan jika diinput secara keseluruhan buku dalam satu waktu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Kondisi Barang Rusak berat yang terdaftar dalam SIMAK BMN belum diajukan penghapusan (untuk segera diajukan penghapusan)
2. Stock opname ATK Pembebasan biaya Perkara belum dilaksanakan 3 (tiga) bulan sekali dan dilaporkan kepada Sekretaris dan Panitera (DIPA 04)</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diajukan Pengapusan ulang sehingga barang rusak berat yang tercatat didalam SIMAK BMN dapat dihapuskan 
2. Untuk dilaksanakan sesuai dengan petunjuk teknis badilag.</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diajukan Pengapusan ulang (PSP) sehingga barang rusak berat yang tercatat didalam SIMAK BMN dapat dihapuskan (terlampir dalam eviden);</w:t></w:r></w:p><w:p><w:pPr><w:pStyle w:val='StyleBulletNumber'/><w:numPr><w:ilvl w:val='0'/><w:numId w:val='1'/></w:numPr><w:rPr></w:rPr></w:pPr><w:r><w:rPr></w:rPr><w:t xml:space='preserve'>Stock opname ATK Pembebasan biaya Perkara telah dilaksanakan 3 (tiga) bulan sekali (terlampir dalam eviden).</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Rapat evaluasi per 3 bulan sudah ada, tetapi format evaluasinya belum sesuai aturan terbaru, belum terdapat penilaiannya per 3 bulan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Rapat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update Informasi pada website/ medsos satker berupa Program Kerja (sudah diupdate kemarin), Laporan Keuangan, Daftar aset dan inventaris, informasi pengadaan barang dan jasa.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laporan keuangan tidak perlu menunggu audited untuk diupload pada website, jika perlua keduanya diupload baik yang audited maupun unaudited. Dicek secara berkala informasi website pada Pengadilan Agama Tanjung Pati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dan di update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Untuk beberapa konten pada website telah diupdate;</w:t></w:r></w:p><w:p><w:pPr><w:pStyle w:val='StyleBulletNumber'/><w:numPr><w:ilvl w:val='0'/><w:numId w:val='1'/></w:numPr><w:rPr></w:rPr></w:pPr><w:r><w:rPr></w:rPr><w:t xml:space='preserve'>Daftar aset dan inventaris, Laporan keuangan 2021 sudah diupload, namun updating website harus dilaksanakan secara berkelanjutan, seharusnya 2022 sudah diupload, untuk laporan keuangan semester 1 tahun 2022 dan laporan aset dan inventaris tahun 2022.</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7</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Monev setiap 3 (tiga) bulan terhadap perjanjian kinerja PPNPN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8</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Dokumen pertanggungjawaban keuangan belum tersusun berurutan per SPM per bulan, masih terpisah
2. Melengkapi dokumen BKU, dll, belum terlihat dalam arsip dan belum ditandatangani Bendahara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Dokumen pertanggungjawaban keuangan telah tersusun berurutan per SPM per bulan;</w:t></w:r></w:p><w:p><w:pPr><w:pStyle w:val='StyleBulletNumber'/><w:numPr><w:ilvl w:val='0'/><w:numId w:val='1'/></w:numPr><w:rPr></w:rPr></w:pPr><w:r><w:rPr></w:rPr><w:t xml:space='preserve'>Telah melengkapi dokumen BKU, dll, belum terlihat dalam arsip dan telah ditandatangani Bendahara.</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9</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Keuangan Tahunan beserta data dukung belum terjilid rapi, belum tersusun, belum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laporan keuangan dibuatkan keduanya, yaitu laporan keuangan unaudited dan laporan keuangan audited. Untuk segera melengkapi dan menjilid laporan keuangan tahun 2021 unaudited</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Laporan Keuangan Tahunan beserta data dukung telah terjilid rapi dan lengkap</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10</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Aplikasi E-Bima 2021 belum diisi lengkap dan 2022 juga belum diisi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data dan kelengkapan dokumen lainnya pada aplikasi e-BIMA sesuai dengan petunjuk Surat SEKMA dan pedoman terbaru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Aplikasi E-Bima 2021 telah diisi lengkap dan 2022 juga telah diisi lengkap (terlampir bukti dalam eviden)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Satker belum melakukan Monev program kerja, berkaitan dengan capaian, target, realisasi yang telah disusun dalam program kerja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Monev program kerja, berkaitan dengan capaian, target, realisasi, dan hal lain yang terkait yang telah disusun dalam program kerja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w:r></w:p><w:p><w:pPr><w:pStyle w:val='StyleBulletNumber'/><w:numPr><w:ilvl w:val='0'/><w:numId w:val='1'/></w:numPr><w:rPr></w:rPr></w:pPr><w:r><w:rPr></w:rPr><w:t xml:space='preserve'>Untuk dilakukan monev kinerja terkait juga dengan penilaian SAKIP, Monev kinerja berisi Perjanjian kinerja IKU tiap bagian dilakukan tiap triwulan terkait capaian target dan realisasinya;</w:t></w:r></w:p><w:p><w:pPr><w:pStyle w:val='StyleBulletNumber'/><w:numPr><w:ilvl w:val='0'/><w:numId w:val='1'/></w:numPr><w:rPr></w:rPr></w:pPr><w:r><w:rPr></w:rPr><w:t xml:space='preserve'>Buat rangkuman hasil Monev Triwulan berjalan berisi (Bagian, target belum tercapai, kendala, rekomendasi tindak lanjut).</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website secara berkala, jika terdapat perubahan-perubahan data dan informasi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Konten website sudah diupdate, namun masih ditemukan konten website yang tidak dilakukan updating secara berkala;</w:t></w:r></w:p><w:p><w:pPr><w:pStyle w:val='StyleBulletNumber'/><w:numPr><w:ilvl w:val='0'/><w:numId w:val='1'/></w:numPr><w:rPr></w:rPr></w:pPr><w:r><w:rPr></w:rPr><w:t xml:space='preserve'>Untuk beberapa konten yang ditemukan tidak update, datanya dapat dilihat pada aplikasi simtalak badilag pada penilaian triwulan III</w:t></w:r></w:p><w:p><w:r><w:t xml:space='preserve'></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Panitera sebagai PPID dan Ketua sebagai atasan PPID/Pimpinan harus membuat laporan meja informasi sesuai ketentuan yang berlaku.</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Rekomendasi sudah dilaksanakan, namun untuk kedepannya disesuaikan format laporan pelayanan informasi sesuai dengan SK KMA NOMOR 2-144_KMA_SK_VIII_2022;</w:t></w:r></w:p><w:p><w:pPr><w:pStyle w:val='StyleBulletNumber'/><w:numPr><w:ilvl w:val='0'/><w:numId w:val='1'/></w:numPr><w:rPr></w:rPr></w:pPr><w:r><w:rPr></w:rPr><w:t xml:space='preserve'>Jam pelayanan, Radius Panggilan, dan Rincian Biaya Perkara belum ada di ruangan PTSP (untuk dapat ditindaklanjuti).</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lengkap diruang Pelayanan Pos Bakum , kelengkapan Administrasi ( Struktur Pos Bakum, Instrumen, Register dan label Pos Layanan dan Papan nama Petugas),</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Pimpinan/Sekretaris memberikan arahan dan pembinaan kepada petugas serta melakukan croscek tentang kelengkapan administrasi pos bakum.</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Kelengkapan Administrasi sudah dilengkapi sesuai dengan Laporan Hasil Pengawasan dari Hatibinwasda.</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 sesuai dengan rekomendasi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Aplikasi Notifikasi Perkara Belum tersedia/Tersedia belum berfungsi efektif. 
  (Sedang dalam proses penyediaan dan pengaktifan)
- Aplikasi Basis Data Terpadu Kemiskinan Belum berfungsi efektif (Karena permasalahan dari Dukcapil).</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 dan Panitera serta jajarannya berupaya menyegerakan dengan selalu koordinasi pihak terkait.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Dekorum Ruang Sidang I telah memenuhi Standarisasi ruang sidang sesuai Surat Edaran Dirjen Badilag Nomor 5538/DJA/HK.05/XI2019 Tanggal 11 November 2019).sedangkan Ruang Sidang II masih ada kekurangan seperti Perangkat Telekompren,</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Ketua/Sekretaris dan jajaran terkait mengusulkan anggaran untuk pengadaan peralatan ruang sidang.</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5</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Masih ada Akta Cerai yang telah diterbitkan belum diambil/diserahkan kepada pihak (data terlampir)</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Belum dilaksanakan, untuk dapat ditindaklanjuti</w:t></w:r></w:p><w:p><w:pPr><w:pStyle w:val='StyleBulletNumber'/><w:numPr><w:ilvl w:val='0'/><w:numId w:val='1'/></w:numPr><w:rPr></w:rPr></w:pPr><w:r><w:rPr></w:rPr><w:t xml:space='preserve'>Evidennya dapat diupload kembali pada aplikasi ini pada menu tindak lanjut, kemudian pada kolom komentar untuk dapat diinput narasi bahwasanya telah dilaksanakan</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6</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Tempat berwuduk bercampur laki dan perempuan dn sandal menuju tempat wuduk juga tidak ada.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dibuat tempat wuduk terpisah antara laki dan perempuan dan disedikan sandal untuk kesana.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7</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ruang tunggu ada galon minuman tapi tidak ada airnya.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dilengkapi pelayanan air minum tersebut.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p><w:r><w:t xml:space='preserve'>Setelah memeriksa dan meneliti berkas perkara pasca pengawasan yaitu: Perkara No.363/Pdt.G/2022/PA.LK, No.88/Pdt.G/2022/PA.LK, dan Perkara No.363/Pdt.G/2022/PA.LK diberikan pembinaan sbb :</w:t></w:r></w:p><w:p><w:r><w:t xml:space='preserve'></w:t></w:r></w:p><w:p><w:pPr><w:pStyle w:val='StyleBulletNumber'/><w:numPr><w:ilvl w:val='0'/><w:numId w:val='1'/></w:numPr><w:rPr></w:rPr></w:pPr><w:r><w:rPr></w:rPr><w:t xml:space='preserve'>Didalam PHS Pihak Tergugat sudah dibolehkan mengajukan jawaban dan membawa saksi-saksi pada sidang pertama. Seharusnya pada sidang pertama  untuk perkara cerai gugat/cerai talak terlebih dahulu diberikan kesempatan kepada pihak untuk melakukan mediasi dengan bantuan mediator. Untuk mengatasinya agar disediakan blanko PHS yang disesuaikan dengan perkara yang diajukan, termasuk juga untuk relaas yang disesuaikan pula dengan PHS ;</w:t></w:r></w:p><w:p><w:pPr><w:pStyle w:val='StyleBulletNumber'/><w:numPr><w:ilvl w:val='0'/><w:numId w:val='1'/></w:numPr><w:rPr></w:rPr></w:pPr><w:r><w:rPr></w:rPr><w:t xml:space='preserve'>Didalam PMH jika terjadi perubahan majelis, maka didalam konsideran dijelaskan alasan terjadi perubahan majelis itu;</w:t></w:r></w:p><w:p><w:pPr><w:pStyle w:val='StyleBulletNumber'/><w:numPr><w:ilvl w:val='0'/><w:numId w:val='1'/></w:numPr><w:rPr></w:rPr></w:pPr><w:r><w:rPr></w:rPr><w:t xml:space='preserve'>Didalam penundaan sidang, alasan penundaan dibuat sesuai kondisi yang seharusnya tanpa pengaruh prediksi kalau seandainya yang dipanggil tidak hadir. Dan jika ternyata yang dipanggil tidak hadir barulah dimuat acara selanjutnya didalam BAS;</w:t></w:r></w:p><w:p><w:pPr><w:pStyle w:val='StyleBulletNumber'/><w:numPr><w:ilvl w:val='0'/><w:numId w:val='1'/></w:numPr><w:rPr></w:rPr></w:pPr><w:r><w:rPr></w:rPr><w:t xml:space='preserve'>Agar sebelum menanda-tangani berita acara sidang diperiksa kembali sehingga tidak diketemukan lagi kesalasan pada copy paste;</w:t></w:r></w:p><w:p><w:pPr><w:pStyle w:val='StyleBulletNumber'/><w:numPr><w:ilvl w:val='0'/><w:numId w:val='1'/></w:numPr><w:rPr></w:rPr></w:pPr><w:r><w:rPr></w:rPr><w:t xml:space='preserve'>Untuk perkara yang disidangkan dengan Hakim tunggal, tidak lagi dipergunakan konsideran dengan Ketua Majelis ataupun Hakim Ketua;</w:t></w:r></w:p><w:p><w:pPr><w:pStyle w:val='StyleBulletNumber'/><w:numPr><w:ilvl w:val='0'/><w:numId w:val='1'/></w:numPr><w:rPr></w:rPr></w:pPr><w:r><w:rPr></w:rPr><w:t xml:space='preserve'>Sebelum meminutasi perkara agar Ketua Majelis atau hakim anggota yang ditunjuk untuk memeriksa dan meneliti ulang kembali berkas perkara tersebut;</w:t></w:r></w:p><w:p><w:r><w:t xml:space='preserve'></w:t></w:r></w:p></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Tanjung Pati</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p><w:r><w:t xml:space='preserve'>test</w:t></w:r></w:p></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Tanjung Pati</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p><w:r><w:t xml:space='preserve'>test</w:t></w:r></w:p></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26 Oktober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Sulem Ahmad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H. Masdi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Fadhliamin S.SI.</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