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evaluasi tindak lanjut temuan telah sesuai dengan rekomendasi Pengawas dan juga telah di implementasikan pelaksanaannya sampai monev berlangsungEfiden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telah dilaksanakan sesuai dengan rekomendasi pengawas dan 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Hasil Monitoring Evaluasi tindak lanjut Pengawasan bahwa&amp;nbsp; Sisa panjar uang eksekusi yang belum diserahkan kepada
Pemohon eksekusi&amp;nbsp;
belum ditindak lanjuti sesuai dengan rekomendasi Pengawas.
Sebagaimana efiden Buku Jurnal Keuangan tingkat Eksekusi Hak
tanggung yang masih bersisa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temuan Pengawasan Pengadilan Agama Tanjung Pati telah menindak lanjuti hasil temuan dengan mengusulkan anggaran untuk pengadaan peralatan ruang sidang.Eviven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Pengawasan  Akta Cerai yang telah diterbitkan belum diambil/diserahkan kepada pihak belum ditindak lanjuti sebagaimana rekomendasi PengawasEviden Sample Akta yang belum diambil 50 perkara Akta Cerai yang telah dikeluarkan pada bulan terakhir&amp;nbsp; yang belum diambil&amp;nbsp;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dan Evaluasi temuan Pengawasan tentang Cover perkara&amp;nbsp; untuk minutasi tidak 
dijahit kecuali pada kulit dalam yang lebarnya setengah belum ditindak lanjuti sesuai dengan rekomendasi PengawasEfiden terlampir</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StyleBulletNumber"/>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StyleBulletNumber"/>
              <w:numPr>
                <w:ilvl w:val="0"/>
                <w:numId w:val="1"/>
              </w:numPr>
              <w:rPr/>
            </w:pPr>
            <w:r>
              <w:rPr/>
              <w:t xml:space="preserve">Didalam PMH jika terjadi perubahan majelis, makadidalam konsideran dijelaskan alasan terjadi perubahan majelis itu;</w:t>
            </w:r>
          </w:p>
          <w:p>
            <w:pPr>
              <w:pStyle w:val="StyleBulletNumber"/>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StyleBulletNumber"/>
              <w:numPr>
                <w:ilvl w:val="0"/>
                <w:numId w:val="1"/>
              </w:numPr>
              <w:rPr/>
            </w:pPr>
            <w:r>
              <w:rPr/>
              <w:t xml:space="preserve">Agar sebelum menanda-tangani berita acarasidang diperiksa kembali sehingga tidak diketemukan lagi kesalasan padacopy paste;</w:t>
            </w:r>
          </w:p>
          <w:p>
            <w:pPr>
              <w:pStyle w:val="StyleBulletNumber"/>
              <w:numPr>
                <w:ilvl w:val="0"/>
                <w:numId w:val="1"/>
              </w:numPr>
              <w:rPr/>
            </w:pPr>
            <w:r>
              <w:rPr/>
              <w:t xml:space="preserve">Untuk perkara yang disidangkan dengan Hakimtunggal, tidak lagi dipergunakan konsideran dengan Ketua Majelis ataupunHakim Ketua;</w:t>
            </w:r>
          </w:p>
          <w:p>
            <w:pPr>
              <w:pStyle w:val="StyleBulletNumber"/>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