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fisik hard copynya sesuai dengan TPHP. Termasuk untuktriwulan III juga sudah dilaksanakan sebagaimana mestinya.</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hard copynya dan telah sesuai dengan laporan tindak lanjut pengawasan (TLHP). SKMsudah dilaksanakan sesuai dengan yang diprogramkan.</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evaluasi tindak lanjut temuan telah sesuai dengan rekomendasi Pengawas dan juga telah di implementasikan pelaksanaannya sampai monev berlangsung.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tindak lanjut telah dilaksanakan sesuai dengan rekomendasi pengawas dan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tindak lanjut Pengawasan bahwa  Sisa panjar uang eksekusi yang belum diserahkan kepadaPemohon eksekusi belum ditindak lanjuti sesuai dengan rekomendasi Pengawas. </w:t>
                  </w:r>
                </w:p>
                <w:p>
                  <w:r>
                    <w:t xml:space="preserve">Sebagaimana eviden Buku Jurnal Keuangan tingkat Eksekusi Haktanggung yang masih bersisa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tindak lanjut temuan Pengawasan Pengadilan Agama Tanjung Pati telah menindak lanjuti hasil temuan dengan mengusulkan anggaran untuk pengadaan peralatan ruang sidang.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PengawasanAkta Cerai yang telah diterbitkan belum diambil/diserahkan kepada pihak belum ditindak lanjuti sebagaimana rekomendasi Pengawas. Eviden Sample Akta yang belum diambil 50 perkara Akta Cerai yang telah dikeluarkan pada bulan terakhir  yang belum diambil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dan Evaluasi temuan Pengawasan tentang Cover perkara  untuk minutasi tidakdijahit kecuali pada kulit dalam yang lebarnya setengah belum ditindak lanjuti sesuai dengan rekomendasi Pengawas. Eviden terlampir</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penggunaan kata “melawan” menjadi “lawan” telah dirobah dan telah ditindak lanjuti sebagaima TLHPdan sudah pula diterapkan untuk perkara lainya sebagaimana termuat dalamperkara antara lain No.363/Pdt.G/2022/PA.LK, No.88/Pdt.P/2022/PA.LK,,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Tentang penjelasan mediasi sudah ditindak lanjuti sebagaimana TLHP.Serta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amar penetapan perintahmediasi sudah dimuat sesuai laporan tindak lanjut serta telah pula diterapkanpada perkara yang lain.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dan diletakkan sebagaimana mestinya sesuai dengan laporan tindak lanjut dan telah puladiterapkan untuk perkara lain seperti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terhadap hal ini sudah sesuai dengan laporan tindaklanjut. Namun temuan seperti ini dalam perkara lain masih banyak ditemukan semisal yang didapati dalam perkara No.286/Pdt.G/2022/PA.LK. padahal perkara sudah diminutasi.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penyebutan perkara tertentu sudah diperbaiki sebagaimana laporan tindak lanjut (TLHP) dan sudah tidak ditemukan lagi dalam perkara lain.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Pemuatan dasar hukum KMA Nomor 108 tahun 2016 dalam formulir sudahdiperbaiki sebagaimana laporan tindak lanjut dan sudah pula diterapkan dalamperkara lain sebagaimana dimuat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penanggalan meterai sudah diberi tanggal (sudahdimatikan) sesuai dengan laporan tindak lanjut dan pada perkara lain telah pula ditemukan penaggalan pada meterai sudah diisi.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 (samadengan temuan pada nomor 2 diatas).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hal ini sudah diperbaiki sebagaimana laporan TLHP dan sudah pula diterapkan pada perkara yang lain dengan mengganti kalimat “beserta” dengan “dan dihadiri”.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Sudah dilakukan reviu SOP sesuai dengan rekomendasi;</w:t>
                  </w:r>
                </w:p>
                <w:p>
                  <w:pPr>
                    <w:pStyle w:val="StyleBulletNumber"/>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diajukan Pengapusan ulang (PSP) sehingga barang rusak berat yang tercatat didalam SIMAK BMN dapat dihapuskan (terlampir dalam eviden);</w:t>
                  </w:r>
                </w:p>
                <w:p>
                  <w:pPr>
                    <w:pStyle w:val="StyleBulletNumber"/>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Untuk beberapa konten pada website telah diupdate;</w:t>
                  </w:r>
                </w:p>
                <w:p>
                  <w:pPr>
                    <w:pStyle w:val="StyleBulletNumber"/>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Dokumen pertanggungjawaban keuangan telah tersusun berurutan per SPM per bulan;</w:t>
                  </w:r>
                </w:p>
                <w:p>
                  <w:pPr>
                    <w:pStyle w:val="StyleBulletNumber"/>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StyleBulletNumber"/>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StyleBulletNumber"/>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Konten website sudah diupdate, namun masih ditemukan konten website yang tidak dilakukan updating secara berkala;</w:t>
                  </w:r>
                </w:p>
                <w:p>
                  <w:pPr>
                    <w:pStyle w:val="StyleBulletNumber"/>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Rekomendasi sudah dilaksanakan, namun untuk kedepannya disesuaikan format laporan pelayanan informasi sesuai dengan SK KMA NOMOR 2-144_KMA_SK_VIII_2022;</w:t>
                  </w:r>
                </w:p>
                <w:p>
                  <w:pPr>
                    <w:pStyle w:val="StyleBulletNumber"/>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Belum dilaksanakan, untuk dapat ditindaklanjuti</w:t>
                  </w:r>
                </w:p>
                <w:p>
                  <w:pPr>
                    <w:pStyle w:val="StyleBulletNumber"/>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p>
            <w:pPr>
              <w:pStyle w:val="StyleBulletNumber"/>
              <w:numPr>
                <w:ilvl w:val="0"/>
                <w:numId w:val="1"/>
              </w:numPr>
              <w:rPr/>
            </w:pPr>
            <w:r>
              <w:rPr/>
              <w:t xml:space="preserve">Pedomani SE PTA. Padang No.2 Tahun 2022;</w:t>
            </w:r>
          </w:p>
          <w:p>
            <w:pPr>
              <w:pStyle w:val="StyleBulletNumber"/>
              <w:numPr>
                <w:ilvl w:val="0"/>
                <w:numId w:val="1"/>
              </w:numPr>
              <w:rPr/>
            </w:pPr>
            <w:r>
              <w:rPr/>
              <w:t xml:space="preserve">Semua menu/konten SIPP harus dilengkapi seperti : Unggah BAS, Input data penundaan dengan benar, E-Doc Arsip, Penanganan Delegasi Masuk Panggilan/PBT, E-Doc Akta Cerai;</w:t>
            </w:r>
          </w:p>
          <w:p>
            <w:pPr>
              <w:pStyle w:val="StyleBulletNumber"/>
              <w:numPr>
                <w:ilvl w:val="0"/>
                <w:numId w:val="1"/>
              </w:numPr>
              <w:rPr/>
            </w:pPr>
            <w:r>
              <w:rPr/>
              <w:t xml:space="preserve">Update secara kontinue E-Keuangan Perkara, Keuangan PNBP, Keuangan ATK Perkara;.</w:t>
            </w:r>
          </w:p>
          <w:p>
            <w:r>
              <w:t xml:space="preserve"/>
            </w:r>
          </w:p>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r>
              <w:t xml:space="preserve">Setelah memeriksa dan meneliti berkas perkara pasca pengawasan yaitu: Perkara No.363/Pdt.G/2022/PA.LK, No.88/Pdt.G/2022/PA.LK, dan Perkara No.363/Pdt.G/2022/PA.LK diberikan pembinaan sbb :</w:t>
            </w:r>
          </w:p>
          <w:p>
            <w:r>
              <w:t xml:space="preserve"/>
            </w:r>
          </w:p>
          <w:p>
            <w:r>
              <w:t xml:space="preserve"/>
            </w:r>
          </w:p>
          <w:p>
            <w:pPr>
              <w:pStyle w:val="StyleBulletNumber"/>
              <w:numPr>
                <w:ilvl w:val="0"/>
                <w:numId w:val="1"/>
              </w:numPr>
              <w:rPr/>
            </w:pPr>
            <w:r>
              <w:rPr/>
              <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
            </w:r>
          </w:p>
          <w:p>
            <w:pPr>
              <w:pStyle w:val="StyleBulletNumber"/>
              <w:numPr>
                <w:ilvl w:val="0"/>
                <w:numId w:val="1"/>
              </w:numPr>
              <w:rPr/>
            </w:pPr>
            <w:r>
              <w:rPr/>
              <w:t xml:space="preserve">Didalam PMH jika terjadi perubahan majelis, makadidalam konsideran dijelaskan alasan terjadi perubahan majelis itu;</w:t>
            </w:r>
          </w:p>
          <w:p>
            <w:pPr>
              <w:pStyle w:val="StyleBulletNumber"/>
              <w:numPr>
                <w:ilvl w:val="0"/>
                <w:numId w:val="1"/>
              </w:numPr>
              <w:rPr/>
            </w:pPr>
            <w:r>
              <w:rPr/>
              <w:t xml:space="preserve">Didalam penundaan sidang, alasan penundaandibuat sesuai kondisi yang seharusnya tanpa pengaruh prediksi kalauseandainya yang dipanggil tidak hadir. Dan jika ternyata yang dipanggil tidakhadir barulah dimuat acara selanjutnya didalam BAS;</w:t>
            </w:r>
          </w:p>
          <w:p>
            <w:pPr>
              <w:pStyle w:val="StyleBulletNumber"/>
              <w:numPr>
                <w:ilvl w:val="0"/>
                <w:numId w:val="1"/>
              </w:numPr>
              <w:rPr/>
            </w:pPr>
            <w:r>
              <w:rPr/>
              <w:t xml:space="preserve">Agar sebelum menanda-tangani berita acarasidang diperiksa kembali sehingga tidak diketemukan lagi kesalasan padacopy paste;</w:t>
            </w:r>
          </w:p>
          <w:p>
            <w:pPr>
              <w:pStyle w:val="StyleBulletNumber"/>
              <w:numPr>
                <w:ilvl w:val="0"/>
                <w:numId w:val="1"/>
              </w:numPr>
              <w:rPr/>
            </w:pPr>
            <w:r>
              <w:rPr/>
              <w:t xml:space="preserve">Untuk perkara yang disidangkan dengan Hakimtunggal, tidak lagi dipergunakan konsideran dengan Ketua Majelis ataupunHakim Ketua;</w:t>
            </w:r>
          </w:p>
          <w:p>
            <w:pPr>
              <w:pStyle w:val="StyleBulletNumber"/>
              <w:numPr>
                <w:ilvl w:val="0"/>
                <w:numId w:val="1"/>
              </w:numPr>
              <w:rPr/>
            </w:pPr>
            <w:r>
              <w:rPr/>
              <w:t xml:space="preserve">Sebelum meminutasi perkara agar Ketua Majelisatau hakim anggota yang ditunjuk untuk memeriksa dan meneliti ulangkembali berkas perkara tersebut; </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p>
            <w:pPr>
              <w:pStyle w:val="StyleBulletNumber"/>
              <w:numPr>
                <w:ilvl w:val="0"/>
                <w:numId w:val="1"/>
              </w:numPr>
              <w:rPr/>
            </w:pPr>
            <w:r>
              <w:rPr/>
              <w:t xml:space="preserve">Monitoring dan evaluasi kinerja terkait IKU dan indikator kinerja pada masing-masing bagian yang dilaksanakan secara kontinu tiap triwulan;</w:t>
            </w:r>
          </w:p>
          <w:p>
            <w:pPr>
              <w:pStyle w:val="StyleBulletNumber"/>
              <w:numPr>
                <w:ilvl w:val="0"/>
                <w:numId w:val="1"/>
              </w:numPr>
              <w:rPr/>
            </w:pPr>
            <w:r>
              <w:rPr/>
              <w:t xml:space="preserve">Monitoring dan evaluasi program kerja yang dilakukan secara kontinu;</w:t>
            </w:r>
          </w:p>
          <w:p>
            <w:pPr>
              <w:pStyle w:val="StyleBulletNumber"/>
              <w:numPr>
                <w:ilvl w:val="0"/>
                <w:numId w:val="1"/>
              </w:numPr>
              <w:rPr/>
            </w:pPr>
            <w:r>
              <w:rPr/>
              <w:t xml:space="preserve">Melengkapi eviden-eviden SAKIP sesuai dengan LKE terbaru (telah disampaikan format LKE dalam bentuk excel pada bagian kesekretariatan PA Tanjung Pati);</w:t>
            </w:r>
          </w:p>
          <w:p>
            <w:pPr>
              <w:pStyle w:val="StyleBulletNumber"/>
              <w:numPr>
                <w:ilvl w:val="0"/>
                <w:numId w:val="1"/>
              </w:numPr>
              <w:rPr/>
            </w:pPr>
            <w:r>
              <w:rPr/>
              <w:t xml:space="preserve">Membuat beberapa SOP yang belum dibuat sesuai dengan peraturan terbaru, seperti pada SK KMA 2-144/KMA/VIII/2022</w:t>
            </w:r>
          </w:p>
          <w:p>
            <w:r>
              <w:t xml:space="preserve"/>
            </w:r>
          </w:p>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