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W3-A/3370/PS.00/XI/2022</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08DA2FA5" w14:textId="7E04143B" w:rsidR="005B2E9B" w:rsidRDefault="005B2E9B" w:rsidP="005B2E9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Alisman S.Ag.</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197005181997031002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Pembina Tingkat I (IV/b)</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Ratna Sari Dewi S.E., M.H.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198003192003122002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Pembina (IV/a)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Sil Melayeni Agus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197901192003122001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Nisa Dewi Asmar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198511042009122005</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Mengikuti Pembinaan Manajemen Administrasi bagi Pejabat Administrasi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dibebankan kepada DIPA Pengadilan Tinggi Agama Padang, sedangkan biaya transportasi dibebankan kepada masing-masing satuan kerja.</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25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p w14:paraId="00C2091E" w14:textId="77777777" w:rsidR="00B00767" w:rsidRDefault="00B00767" w:rsidP="00B0076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Tembusan:</w:t>
            </w:r>
          </w:p>
          <w:p w14:paraId="09BB65A9" w14:textId="77777777" w:rsidR="001E02E2" w:rsidRDefault="001E02E2" w:rsidP="001E02E2">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Padang</w:t>
            </w:r>
          </w:p>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
      </w:r>
    </w:p>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