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ind w:left="851" w:hanging="0"/>
        <w:jc w:val="center"/>
        <w:rPr>
          <w:rFonts w:ascii="Bookman Old Style" w:hAnsi="Bookman Old Style" w:eastAsia="Bookman Old Style" w:cs="Bookman Old Style"/>
          <w:sz w:val="26"/>
          <w:szCs w:val="26"/>
        </w:rPr>
      </w:pPr>
      <w:r>
        <w:drawing>
          <wp:anchor behindDoc="1" distT="0" distB="0" distL="0" distR="0" simplePos="0" locked="0" layoutInCell="0" allowOverlap="1" relativeHeight="2">
            <wp:simplePos x="0" y="0"/>
            <wp:positionH relativeFrom="column">
              <wp:posOffset>-2540</wp:posOffset>
            </wp:positionH>
            <wp:positionV relativeFrom="paragraph">
              <wp:posOffset>-2540</wp:posOffset>
            </wp:positionV>
            <wp:extent cx="612140" cy="791845"/>
            <wp:effectExtent l="0" t="0" r="0" b="0"/>
            <wp:wrapNone/>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612140" cy="791845"/>
                    </a:xfrm>
                    <a:prstGeom prst="rect">
                      <a:avLst/>
                    </a:prstGeom>
                  </pic:spPr>
                </pic:pic>
              </a:graphicData>
            </a:graphic>
          </wp:anchor>
        </w:drawing>
      </w:r>
      <w:r>
        <w:rPr>
          <w:rFonts w:eastAsia="Bookman Old Style" w:cs="Bookman Old Style" w:ascii="Bookman Old Style" w:hAnsi="Bookman Old Style"/>
          <w:b/>
          <w:sz w:val="26"/>
          <w:szCs w:val="26"/>
        </w:rPr>
        <w:t>MAHKAMAH AGUNG REPUBLIK INDONESIA</w:t>
      </w:r>
    </w:p>
    <w:p>
      <w:pPr>
        <w:pStyle w:val="Normal"/>
        <w:spacing w:lineRule="auto" w:line="276"/>
        <w:ind w:left="851" w:hanging="0"/>
        <w:jc w:val="center"/>
        <w:rPr>
          <w:rFonts w:ascii="Bookman Old Style" w:hAnsi="Bookman Old Style" w:eastAsia="Bookman Old Style" w:cs="Bookman Old Style"/>
          <w:sz w:val="26"/>
          <w:szCs w:val="26"/>
        </w:rPr>
      </w:pPr>
      <w:r>
        <w:rPr>
          <w:rFonts w:eastAsia="Bookman Old Style" w:cs="Bookman Old Style" w:ascii="Bookman Old Style" w:hAnsi="Bookman Old Style"/>
          <w:b/>
          <w:sz w:val="26"/>
          <w:szCs w:val="26"/>
        </w:rPr>
        <w:t>DIREKTORAT JENDERAL BADAN PERADILAN UMUM</w:t>
      </w:r>
    </w:p>
    <w:p>
      <w:pPr>
        <w:pStyle w:val="Normal"/>
        <w:spacing w:lineRule="auto" w:line="276"/>
        <w:ind w:left="851" w:hanging="0"/>
        <w:jc w:val="center"/>
        <w:rPr>
          <w:rFonts w:ascii="Bookman Old Style" w:hAnsi="Bookman Old Style" w:eastAsia="Bookman Old Style" w:cs="Bookman Old Style"/>
          <w:sz w:val="26"/>
          <w:szCs w:val="26"/>
        </w:rPr>
      </w:pPr>
      <w:r>
        <w:rPr>
          <w:rFonts w:eastAsia="Bookman Old Style" w:cs="Bookman Old Style" w:ascii="Bookman Old Style" w:hAnsi="Bookman Old Style"/>
          <w:b/>
          <w:sz w:val="26"/>
          <w:szCs w:val="26"/>
        </w:rPr>
        <w:t>PENGADILAN TINGGI RIAU</w:t>
      </w:r>
    </w:p>
    <w:p>
      <w:pPr>
        <w:pStyle w:val="Normal"/>
        <w:spacing w:lineRule="auto" w:line="276"/>
        <w:ind w:left="851" w:hanging="0"/>
        <w:jc w:val="center"/>
        <w:rPr>
          <w:rFonts w:ascii="Bookman Old Style" w:hAnsi="Bookman Old Style" w:eastAsia="Bookman Old Style" w:cs="Bookman Old Style"/>
          <w:sz w:val="16"/>
          <w:szCs w:val="16"/>
        </w:rPr>
      </w:pPr>
      <w:r>
        <w:rPr>
          <w:rFonts w:eastAsia="Bookman Old Style" w:cs="Bookman Old Style" w:ascii="Bookman Old Style" w:hAnsi="Bookman Old Style"/>
          <w:sz w:val="16"/>
          <w:szCs w:val="16"/>
        </w:rPr>
        <w:t>Jalan Jenderal Sudirman No. 315, Kel. Cinta Raja, Kec. Sail, Kota Pekanbaru, Provinsi Riau 28131</w:t>
      </w:r>
    </w:p>
    <w:p>
      <w:pPr>
        <w:pStyle w:val="Normal"/>
        <w:spacing w:lineRule="auto" w:line="276"/>
        <w:ind w:left="851" w:hanging="0"/>
        <w:jc w:val="center"/>
        <w:rPr>
          <w:rFonts w:ascii="Bookman Old Style" w:hAnsi="Bookman Old Style" w:eastAsia="Bookman Old Style" w:cs="Bookman Old Style"/>
          <w:sz w:val="16"/>
          <w:szCs w:val="16"/>
        </w:rPr>
      </w:pPr>
      <w:r>
        <w:rPr>
          <w:rFonts w:eastAsia="Bookman Old Style" w:cs="Bookman Old Style" w:ascii="Bookman Old Style" w:hAnsi="Bookman Old Style"/>
          <w:sz w:val="16"/>
          <w:szCs w:val="16"/>
        </w:rPr>
        <w:t>www.pt-riau.go.id, admin@pt-riau.go.id, Telepon. (0761) 33768, Faksimile. (0761) 21523</w:t>
      </w:r>
    </w:p>
    <w:p>
      <w:pPr>
        <w:pStyle w:val="Normal"/>
        <w:jc w:val="center"/>
        <w:rPr>
          <w:rFonts w:ascii="Bookman Old Style" w:hAnsi="Bookman Old Style" w:eastAsia="Bookman Old Style" w:cs="Bookman Old Style"/>
          <w:sz w:val="24"/>
          <w:szCs w:val="16"/>
        </w:rPr>
      </w:pPr>
      <w:r>
        <w:rPr>
          <w:rFonts w:eastAsia="Bookman Old Style" w:cs="Bookman Old Style" w:ascii="Bookman Old Style" w:hAnsi="Bookman Old Style"/>
          <w:sz w:val="24"/>
          <w:szCs w:val="16"/>
        </w:rPr>
        <mc:AlternateContent>
          <mc:Choice Requires="wps">
            <w:drawing>
              <wp:anchor behindDoc="0" distT="10160" distB="9525" distL="635" distR="1270" simplePos="0" locked="0" layoutInCell="0" allowOverlap="1" relativeHeight="3">
                <wp:simplePos x="0" y="0"/>
                <wp:positionH relativeFrom="column">
                  <wp:posOffset>-3810</wp:posOffset>
                </wp:positionH>
                <wp:positionV relativeFrom="paragraph">
                  <wp:posOffset>46990</wp:posOffset>
                </wp:positionV>
                <wp:extent cx="5905500" cy="635"/>
                <wp:effectExtent l="635" t="10160" r="1270" b="9525"/>
                <wp:wrapNone/>
                <wp:docPr id="2" name="Straight Arrow Connector 3"/>
                <a:graphic xmlns:a="http://schemas.openxmlformats.org/drawingml/2006/main">
                  <a:graphicData uri="http://schemas.microsoft.com/office/word/2010/wordprocessingShape">
                    <wps:wsp>
                      <wps:cNvSpPr/>
                      <wps:spPr>
                        <a:xfrm>
                          <a:off x="0" y="0"/>
                          <a:ext cx="5905440" cy="720"/>
                        </a:xfrm>
                        <a:prstGeom prst="straightConnector1">
                          <a:avLst/>
                        </a:prstGeom>
                        <a:noFill/>
                        <a:ln w="19080">
                          <a:solidFill>
                            <a:srgbClr val="000000"/>
                          </a:solidFill>
                          <a:miter/>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3" stroked="t" o:allowincell="f" style="position:absolute;margin-left:-0.3pt;margin-top:3.7pt;width:464.95pt;height:0pt;mso-wrap-style:none;v-text-anchor:middle" type="_x0000_t32">
                <v:fill o:detectmouseclick="t" on="false"/>
                <v:stroke color="black" weight="19080" joinstyle="miter" endcap="flat"/>
                <w10:wrap type="none"/>
              </v:shape>
            </w:pict>
          </mc:Fallback>
        </mc:AlternateContent>
      </w:r>
    </w:p>
    <w:p>
      <w:pPr>
        <w:pStyle w:val="Normal"/>
        <w:spacing w:lineRule="auto" w:line="360"/>
        <w:jc w:val="center"/>
        <w:rPr>
          <w:rFonts w:ascii="Bookman Old Style" w:hAnsi="Bookman Old Style"/>
          <w:b/>
          <w:b/>
          <w:sz w:val="24"/>
          <w:szCs w:val="24"/>
        </w:rPr>
      </w:pPr>
      <w:r>
        <w:rPr>
          <w:rFonts w:ascii="Bookman Old Style" w:hAnsi="Bookman Old Style"/>
          <w:b/>
          <w:sz w:val="24"/>
          <w:szCs w:val="24"/>
        </w:rPr>
        <w:t>LAPORAN TAHUNAN PELAYANAN INFORMASI</w:t>
      </w:r>
    </w:p>
    <w:p>
      <w:pPr>
        <w:pStyle w:val="Normal"/>
        <w:spacing w:lineRule="auto" w:line="360"/>
        <w:jc w:val="center"/>
        <w:rPr>
          <w:rFonts w:ascii="Bookman Old Style" w:hAnsi="Bookman Old Style"/>
          <w:b/>
          <w:b/>
          <w:sz w:val="24"/>
          <w:szCs w:val="24"/>
        </w:rPr>
      </w:pPr>
      <w:r>
        <w:rPr>
          <w:rFonts w:ascii="Bookman Old Style" w:hAnsi="Bookman Old Style"/>
          <w:b/>
          <w:sz w:val="24"/>
          <w:szCs w:val="24"/>
        </w:rPr>
        <w:t>Periode : Januari – Desember 2025</w:t>
      </w:r>
    </w:p>
    <w:p>
      <w:pPr>
        <w:pStyle w:val="Normal"/>
        <w:spacing w:lineRule="auto" w:line="360"/>
        <w:jc w:val="center"/>
        <w:rPr>
          <w:rFonts w:ascii="Bookman Old Style" w:hAnsi="Bookman Old Style"/>
          <w:b/>
          <w:b/>
          <w:sz w:val="16"/>
          <w:szCs w:val="24"/>
        </w:rPr>
      </w:pPr>
      <w:r>
        <w:rPr>
          <w:rFonts w:ascii="Bookman Old Style" w:hAnsi="Bookman Old Style"/>
          <w:b/>
          <w:sz w:val="16"/>
          <w:szCs w:val="24"/>
        </w:rPr>
      </w:r>
    </w:p>
    <w:p>
      <w:pPr>
        <w:pStyle w:val="ListParagraph"/>
        <w:numPr>
          <w:ilvl w:val="0"/>
          <w:numId w:val="1"/>
        </w:numPr>
        <w:spacing w:lineRule="auto" w:line="360"/>
        <w:ind w:left="426" w:hanging="360"/>
        <w:jc w:val="left"/>
        <w:rPr>
          <w:rFonts w:ascii="Bookman Old Style" w:hAnsi="Bookman Old Style"/>
          <w:b/>
          <w:b/>
          <w:sz w:val="24"/>
          <w:szCs w:val="24"/>
        </w:rPr>
      </w:pPr>
      <w:r>
        <w:rPr>
          <w:rFonts w:ascii="Bookman Old Style" w:hAnsi="Bookman Old Style"/>
          <w:b/>
          <w:sz w:val="24"/>
          <w:szCs w:val="24"/>
        </w:rPr>
        <w:t>RINGKASAN LAPORAN</w:t>
      </w:r>
    </w:p>
    <w:p>
      <w:pPr>
        <w:pStyle w:val="Normal"/>
        <w:spacing w:lineRule="auto" w:line="360"/>
        <w:ind w:firstLine="720"/>
        <w:rPr>
          <w:rFonts w:ascii="Bookman Old Style" w:hAnsi="Bookman Old Style"/>
          <w:sz w:val="24"/>
          <w:szCs w:val="24"/>
        </w:rPr>
      </w:pPr>
      <w:r>
        <w:rPr>
          <w:rFonts w:ascii="Bookman Old Style" w:hAnsi="Bookman Old Style"/>
          <w:sz w:val="24"/>
          <w:szCs w:val="24"/>
        </w:rPr>
        <w:t>Mahkamah Agung Republik Indonesia sebagai salah satu puncak kekuasaan Kehakiman serta Peradilan Tertinggi mempunyai posisi dan peran strategis dibidang kekuasaan Kehakiman, karena tidak hanya membawahi 4 (empat) lingkungan Badan Peradilan, tetapi juga sebagai puncak manajemen dibidang administrasi, personil dan finansial. Dengan kebijakan satu atap, memberikan tanggung jawab dan tantangan bagi Mahkamah Agung Republik Indonesia, untuk menunjukkan kemampuannya guna mewujudkan lembaga yang profesional, efektif, efisien, transparan dan akuntabel.</w:t>
      </w:r>
    </w:p>
    <w:p>
      <w:pPr>
        <w:pStyle w:val="Normal"/>
        <w:spacing w:lineRule="auto" w:line="360"/>
        <w:ind w:firstLine="720"/>
        <w:rPr>
          <w:rFonts w:ascii="Bookman Old Style" w:hAnsi="Bookman Old Style"/>
          <w:sz w:val="24"/>
          <w:szCs w:val="24"/>
        </w:rPr>
      </w:pPr>
      <w:r>
        <w:rPr>
          <w:rFonts w:ascii="Bookman Old Style" w:hAnsi="Bookman Old Style"/>
          <w:sz w:val="24"/>
          <w:szCs w:val="24"/>
        </w:rPr>
        <w:t>Dalam keadaan yang demikian, diperlukan suatu aturan perencanaan strategis, yang meliputi pembenahan diseluruh aspek peradilan, dalam kerangka pembaharuan peradilan yang komprehensif dan sistematis dan sebagai wujud dalam merespon keadaan tersebut Mahkamah Agung Republik Indonesia telah mengambil langkah membuat perencanaan strategis untuk 25 (dua puluh lima) tahun mendatang yang dirumuskan dalam “Cetak Biru Pembaharuan Peradilan 2010 – 2035”. Dirumuskannya Cetak Biru ini dilaksanakan untuk lebih mempertajam arah dan langkah dalam mencapai cita-cita pembaharuan peradilan secara utuh.</w:t>
      </w:r>
    </w:p>
    <w:p>
      <w:pPr>
        <w:pStyle w:val="Normal"/>
        <w:spacing w:lineRule="auto" w:line="360"/>
        <w:ind w:firstLine="720"/>
        <w:rPr>
          <w:rFonts w:ascii="Bookman Old Style" w:hAnsi="Bookman Old Style"/>
          <w:sz w:val="24"/>
          <w:szCs w:val="24"/>
        </w:rPr>
      </w:pPr>
      <w:r>
        <w:rPr>
          <w:rFonts w:ascii="Bookman Old Style" w:hAnsi="Bookman Old Style"/>
          <w:sz w:val="24"/>
          <w:szCs w:val="24"/>
        </w:rPr>
        <w:t>Dalam Cetak Biru Pembaharuan Peradilan 2010 – 2035, telah dirumuskan Visi baru Mahkamah Agung Republik Indonesia yaitu “Terwujudnya Badan Peradilan Indonesia Yang Agung” dan salah satu penunjang penting yang dapat mendukung terwujudnya Badan Peradilan Indonesia Yang Agung adalah dengan memiliki manajemen informasi yang menjamin akuntabilitas, kredibilitas dan transparansi, serta dukungan organisasi modern yang berbasis IT (Informasi Teknologi).</w:t>
      </w:r>
    </w:p>
    <w:p>
      <w:pPr>
        <w:pStyle w:val="Normal"/>
        <w:spacing w:lineRule="auto" w:line="360"/>
        <w:ind w:firstLine="720"/>
        <w:rPr>
          <w:rFonts w:ascii="Bookman Old Style" w:hAnsi="Bookman Old Style"/>
          <w:sz w:val="24"/>
          <w:szCs w:val="24"/>
        </w:rPr>
      </w:pPr>
      <w:r>
        <w:rPr>
          <w:rFonts w:ascii="Bookman Old Style" w:hAnsi="Bookman Old Style"/>
          <w:sz w:val="24"/>
          <w:szCs w:val="24"/>
        </w:rPr>
        <w:t>Untuk mewujudkan salah satu penunjang penting tersebut, Mahkamah Agung Republik Indonesia telah mengeluarkan SK KMA Nomor : 2-144/KMA/SK/VIII/2022, tentang Standar Pelayanan Informasi Publik di Pengadilan, sebagai petunjuk pelaksanaan pelayanan informasi bagi pejabat diseluruh tingkat Pengadilan pada keempat lingkungan Badan Peradilan. Sebagai tindak lanjut program keterbukaan informasi berdasarkan SK KMA Nomor : 2-144/KMA/SK/VIII/2022 tersebut Mahkamah Agung Republik Indonesia memberlakukan Layanan Informasi di Pengadilan diselenggarakan secara elektronik melalui media Layanan Informasi dan Dokumentasi secara elektronik (E-LID). Untuk pengadaan sarana dan prasarana IT dilaksanakan secara menyeluruh dan merata pada 4 (empat) lingkungan peradilan yang ada dibawahnya baik Peradilan Tingkat Pertama maupun Peradilan Tingkat Banding di seluruh Indonesia.</w:t>
      </w:r>
    </w:p>
    <w:p>
      <w:pPr>
        <w:pStyle w:val="Normal"/>
        <w:spacing w:lineRule="auto" w:line="360"/>
        <w:ind w:firstLine="720"/>
        <w:rPr>
          <w:rFonts w:ascii="Bookman Old Style" w:hAnsi="Bookman Old Style"/>
          <w:sz w:val="24"/>
          <w:szCs w:val="24"/>
        </w:rPr>
      </w:pPr>
      <w:r>
        <w:rPr>
          <w:rFonts w:ascii="Bookman Old Style" w:hAnsi="Bookman Old Style"/>
          <w:sz w:val="24"/>
          <w:szCs w:val="24"/>
        </w:rPr>
        <w:t xml:space="preserve">Pengadilan Tinggi Riau yang merupakan Pengadilan Tingkat Banding pada Mahkamah Agung Republik Indonesia di wilayah kota Pekanbaru Provinsi Riau dalam pelayanan informasi menyediakan atau menyajikan informasi kepada masyarakat dalam bentuk 2 (dua) sarana yaitu secara tidak langsung yaitu melalui </w:t>
      </w:r>
      <w:r>
        <w:rPr>
          <w:rFonts w:ascii="Bookman Old Style" w:hAnsi="Bookman Old Style"/>
          <w:i/>
          <w:sz w:val="24"/>
          <w:szCs w:val="24"/>
        </w:rPr>
        <w:t>website</w:t>
      </w:r>
      <w:r>
        <w:rPr>
          <w:rFonts w:ascii="Bookman Old Style" w:hAnsi="Bookman Old Style"/>
          <w:sz w:val="24"/>
          <w:szCs w:val="24"/>
        </w:rPr>
        <w:t xml:space="preserve"> resmi dan secara langsung yaitu melalui Meja PTSP, selama tahun 2023 terdapat 109 (seratus sembilan)</w:t>
      </w:r>
      <w:r>
        <w:rPr>
          <w:rFonts w:ascii="Bookman Old Style" w:hAnsi="Bookman Old Style"/>
          <w:color w:val="FF0000"/>
          <w:sz w:val="24"/>
          <w:szCs w:val="24"/>
        </w:rPr>
        <w:t xml:space="preserve"> </w:t>
      </w:r>
      <w:r>
        <w:rPr>
          <w:rFonts w:ascii="Bookman Old Style" w:hAnsi="Bookman Old Style"/>
          <w:sz w:val="24"/>
          <w:szCs w:val="24"/>
        </w:rPr>
        <w:t>permohonan informasi yang masuk ke Pengadilan Tinggi Riau dengan rincian 61 (enam puluh satu) permohonan informasi perkara dan putusan, 11 (sebelas) permohonan informasi kepegawaian, 2 (dua) permohonan informasi aset dan anggaran</w:t>
      </w:r>
      <w:r>
        <w:rPr>
          <w:rFonts w:ascii="Bookman Old Style" w:hAnsi="Bookman Old Style"/>
          <w:color w:val="FF0000"/>
          <w:sz w:val="24"/>
          <w:szCs w:val="24"/>
        </w:rPr>
        <w:t xml:space="preserve"> </w:t>
      </w:r>
      <w:r>
        <w:rPr>
          <w:rFonts w:ascii="Bookman Old Style" w:hAnsi="Bookman Old Style"/>
          <w:sz w:val="24"/>
          <w:szCs w:val="24"/>
        </w:rPr>
        <w:t>serta 35 (tiga puluh lima) permohonan data lainnya.</w:t>
      </w:r>
    </w:p>
    <w:p>
      <w:pPr>
        <w:pStyle w:val="Normal"/>
        <w:spacing w:lineRule="auto" w:line="360"/>
        <w:ind w:firstLine="720"/>
        <w:rPr>
          <w:rFonts w:ascii="Bookman Old Style" w:hAnsi="Bookman Old Style"/>
          <w:sz w:val="18"/>
          <w:szCs w:val="24"/>
        </w:rPr>
      </w:pPr>
      <w:r>
        <w:rPr>
          <w:rFonts w:ascii="Bookman Old Style" w:hAnsi="Bookman Old Style"/>
          <w:sz w:val="18"/>
          <w:szCs w:val="24"/>
        </w:rPr>
      </w:r>
      <w:bookmarkStart w:id="0" w:name="_GoBack"/>
      <w:bookmarkStart w:id="1" w:name="_GoBack"/>
      <w:bookmarkEnd w:id="1"/>
    </w:p>
    <w:p>
      <w:pPr>
        <w:pStyle w:val="ListParagraph"/>
        <w:numPr>
          <w:ilvl w:val="0"/>
          <w:numId w:val="1"/>
        </w:numPr>
        <w:spacing w:lineRule="auto" w:line="360"/>
        <w:ind w:left="426" w:hanging="360"/>
        <w:rPr>
          <w:rFonts w:ascii="Bookman Old Style" w:hAnsi="Bookman Old Style"/>
          <w:b/>
          <w:b/>
          <w:sz w:val="24"/>
          <w:szCs w:val="24"/>
        </w:rPr>
      </w:pPr>
      <w:r>
        <w:rPr>
          <w:rFonts w:ascii="Bookman Old Style" w:hAnsi="Bookman Old Style"/>
          <w:b/>
          <w:sz w:val="24"/>
          <w:szCs w:val="24"/>
        </w:rPr>
        <w:t>GAMBARAN UMUM PELAYANAN INFORMASI</w:t>
      </w:r>
    </w:p>
    <w:p>
      <w:pPr>
        <w:pStyle w:val="ListParagraph"/>
        <w:numPr>
          <w:ilvl w:val="0"/>
          <w:numId w:val="2"/>
        </w:numPr>
        <w:spacing w:lineRule="auto" w:line="360"/>
        <w:ind w:left="426" w:hanging="360"/>
        <w:rPr>
          <w:rFonts w:ascii="Bookman Old Style" w:hAnsi="Bookman Old Style"/>
          <w:sz w:val="24"/>
          <w:szCs w:val="24"/>
        </w:rPr>
      </w:pPr>
      <w:r>
        <w:rPr>
          <w:rFonts w:ascii="Bookman Old Style" w:hAnsi="Bookman Old Style"/>
          <w:sz w:val="24"/>
          <w:szCs w:val="24"/>
        </w:rPr>
        <w:t>Sarana dan Prasarana</w:t>
      </w:r>
    </w:p>
    <w:p>
      <w:pPr>
        <w:pStyle w:val="ListParagraph"/>
        <w:spacing w:lineRule="auto" w:line="360"/>
        <w:ind w:left="426" w:firstLine="850"/>
        <w:rPr>
          <w:rFonts w:ascii="Bookman Old Style" w:hAnsi="Bookman Old Style"/>
          <w:sz w:val="24"/>
          <w:szCs w:val="24"/>
        </w:rPr>
      </w:pPr>
      <w:r>
        <w:rPr>
          <w:rFonts w:ascii="Bookman Old Style" w:hAnsi="Bookman Old Style"/>
          <w:sz w:val="24"/>
          <w:szCs w:val="24"/>
        </w:rPr>
        <w:t>Sarana dan prasarana yang telah dimiliki oleh Pengadilan Tinggi riau dalam pelayanan informasi yaitu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Pelayanan Terpadu Satu Pintu (PTSP)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SMART PTSP Pengadilan Tinggi Riau (Memuat 14 (empat belas) jenis layanan yang dapat dinikmati oleh masyarakat yaitu ; Virtual PTSP, Info Perkara Banding, Info Perkara BHT, Layanan Chatbot Data Perkara, e-Monev SAKIP, Penyumpahan Advokat, Izin Riset &amp; Kerja Praktik, Informasi Layanan, Pengaduan, Survey Kepuasan Masyarakat &amp; SPAK, Data Statistik, Live Chat PTSP, Inovasi Pengadilan Negeri dan Live Streaming PTSP) ;</w:t>
      </w:r>
    </w:p>
    <w:p>
      <w:pPr>
        <w:pStyle w:val="ListParagraph"/>
        <w:numPr>
          <w:ilvl w:val="0"/>
          <w:numId w:val="3"/>
        </w:numPr>
        <w:spacing w:lineRule="auto" w:line="360"/>
        <w:ind w:left="851" w:hanging="360"/>
        <w:rPr>
          <w:rFonts w:ascii="Bookman Old Style" w:hAnsi="Bookman Old Style"/>
          <w:i/>
          <w:i/>
          <w:sz w:val="24"/>
          <w:szCs w:val="24"/>
        </w:rPr>
      </w:pPr>
      <w:r>
        <w:rPr>
          <w:rFonts w:ascii="Bookman Old Style" w:hAnsi="Bookman Old Style"/>
          <w:i/>
          <w:sz w:val="24"/>
          <w:szCs w:val="24"/>
        </w:rPr>
        <w:t>Website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Komputer Informasi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Sistem Informasi Penelusuran Perkara (SIPP)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Direktori Putusan Online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TV Jadwal Sidang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E-Court (Aplikasi persidangan online)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SIWAS (Sistem Informasi Pengawasan)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Akses Internet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Jaringan Komputer (LAN)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Sever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P. C. Unit ;</w:t>
      </w:r>
    </w:p>
    <w:p>
      <w:pPr>
        <w:pStyle w:val="ListParagraph"/>
        <w:numPr>
          <w:ilvl w:val="0"/>
          <w:numId w:val="3"/>
        </w:numPr>
        <w:spacing w:lineRule="auto" w:line="360"/>
        <w:ind w:left="851" w:hanging="360"/>
        <w:rPr>
          <w:rFonts w:ascii="Bookman Old Style" w:hAnsi="Bookman Old Style"/>
          <w:sz w:val="24"/>
          <w:szCs w:val="24"/>
        </w:rPr>
      </w:pPr>
      <w:r>
        <w:rPr>
          <w:rFonts w:ascii="Bookman Old Style" w:hAnsi="Bookman Old Style"/>
          <w:sz w:val="24"/>
          <w:szCs w:val="24"/>
        </w:rPr>
        <w:t>Laptop.</w:t>
      </w:r>
    </w:p>
    <w:p>
      <w:pPr>
        <w:pStyle w:val="ListParagraph"/>
        <w:spacing w:lineRule="auto" w:line="360"/>
        <w:ind w:left="851" w:hanging="0"/>
        <w:rPr>
          <w:rFonts w:ascii="Bookman Old Style" w:hAnsi="Bookman Old Style"/>
          <w:sz w:val="24"/>
          <w:szCs w:val="24"/>
        </w:rPr>
      </w:pPr>
      <w:r>
        <w:rPr>
          <w:rFonts w:ascii="Bookman Old Style" w:hAnsi="Bookman Old Style"/>
          <w:sz w:val="24"/>
          <w:szCs w:val="24"/>
        </w:rPr>
      </w:r>
    </w:p>
    <w:p>
      <w:pPr>
        <w:pStyle w:val="ListParagraph"/>
        <w:numPr>
          <w:ilvl w:val="0"/>
          <w:numId w:val="2"/>
        </w:numPr>
        <w:spacing w:lineRule="auto" w:line="360"/>
        <w:ind w:left="426" w:hanging="360"/>
        <w:rPr>
          <w:rFonts w:ascii="Bookman Old Style" w:hAnsi="Bookman Old Style"/>
          <w:sz w:val="24"/>
          <w:szCs w:val="24"/>
        </w:rPr>
      </w:pPr>
      <w:r>
        <w:rPr>
          <w:rFonts w:ascii="Bookman Old Style" w:hAnsi="Bookman Old Style"/>
          <w:sz w:val="24"/>
          <w:szCs w:val="24"/>
        </w:rPr>
        <w:t>Sumber Daya Manusia</w:t>
      </w:r>
    </w:p>
    <w:p>
      <w:pPr>
        <w:pStyle w:val="ListParagraph"/>
        <w:spacing w:lineRule="auto" w:line="360"/>
        <w:ind w:left="426" w:firstLine="850"/>
        <w:rPr>
          <w:rFonts w:ascii="Bookman Old Style" w:hAnsi="Bookman Old Style"/>
          <w:sz w:val="24"/>
          <w:szCs w:val="24"/>
        </w:rPr>
      </w:pPr>
      <w:r>
        <w:rPr>
          <w:rFonts w:ascii="Bookman Old Style" w:hAnsi="Bookman Old Style"/>
          <w:sz w:val="24"/>
          <w:szCs w:val="24"/>
        </w:rPr>
        <w:t>Berdasarkan SK KMA Nomor : 2-144/KMA/SK/VIII/2022 Ketua Pengadilan Tinggi Riau diberikan kewajiban untuk menunjuk Pejabat dan Petugas Informasi dan Dokumentasi dilingkungan Pengadilan Tinggi Riau, dengan struktur sebagai berikut:</w:t>
      </w:r>
    </w:p>
    <w:p>
      <w:pPr>
        <w:pStyle w:val="ListParagraph"/>
        <w:numPr>
          <w:ilvl w:val="0"/>
          <w:numId w:val="4"/>
        </w:numPr>
        <w:spacing w:lineRule="auto" w:line="360"/>
        <w:ind w:left="851" w:hanging="360"/>
        <w:rPr>
          <w:rFonts w:ascii="Bookman Old Style" w:hAnsi="Bookman Old Style"/>
          <w:sz w:val="24"/>
          <w:szCs w:val="24"/>
        </w:rPr>
      </w:pPr>
      <w:r>
        <w:rPr>
          <w:rFonts w:ascii="Bookman Old Style" w:hAnsi="Bookman Old Style"/>
          <w:sz w:val="24"/>
          <w:szCs w:val="24"/>
        </w:rPr>
        <w:t>Dewan Pertimbangan dijabat oleh Ketua dan Panitera ;</w:t>
      </w:r>
    </w:p>
    <w:p>
      <w:pPr>
        <w:pStyle w:val="ListParagraph"/>
        <w:numPr>
          <w:ilvl w:val="0"/>
          <w:numId w:val="4"/>
        </w:numPr>
        <w:spacing w:lineRule="auto" w:line="360"/>
        <w:ind w:left="851" w:hanging="360"/>
        <w:rPr>
          <w:rFonts w:ascii="Bookman Old Style" w:hAnsi="Bookman Old Style"/>
          <w:sz w:val="24"/>
          <w:szCs w:val="24"/>
        </w:rPr>
      </w:pPr>
      <w:r>
        <w:rPr>
          <w:rFonts w:ascii="Bookman Old Style" w:hAnsi="Bookman Old Style"/>
          <w:sz w:val="24"/>
          <w:szCs w:val="24"/>
        </w:rPr>
        <w:t>Atasan Pejabat Pengelola Informasi dan Dokumentasi (PPID) dijabat oleh Sekretaris ;</w:t>
      </w:r>
    </w:p>
    <w:p>
      <w:pPr>
        <w:pStyle w:val="ListParagraph"/>
        <w:numPr>
          <w:ilvl w:val="0"/>
          <w:numId w:val="4"/>
        </w:numPr>
        <w:spacing w:lineRule="auto" w:line="360"/>
        <w:ind w:left="851" w:hanging="360"/>
        <w:rPr>
          <w:rFonts w:ascii="Bookman Old Style" w:hAnsi="Bookman Old Style"/>
          <w:sz w:val="24"/>
          <w:szCs w:val="24"/>
        </w:rPr>
      </w:pPr>
      <w:r>
        <w:rPr>
          <w:rFonts w:ascii="Bookman Old Style" w:hAnsi="Bookman Old Style"/>
          <w:sz w:val="24"/>
          <w:szCs w:val="24"/>
        </w:rPr>
        <w:t>Pejabat Pengelola Informasi dan Dokumentasi (PPID) dijabat oleh Panitera Muda Hukum ;</w:t>
      </w:r>
    </w:p>
    <w:p>
      <w:pPr>
        <w:pStyle w:val="ListParagraph"/>
        <w:numPr>
          <w:ilvl w:val="0"/>
          <w:numId w:val="4"/>
        </w:numPr>
        <w:spacing w:lineRule="auto" w:line="360"/>
        <w:ind w:left="851" w:hanging="360"/>
        <w:rPr>
          <w:rFonts w:ascii="Bookman Old Style" w:hAnsi="Bookman Old Style"/>
          <w:sz w:val="24"/>
          <w:szCs w:val="24"/>
        </w:rPr>
      </w:pPr>
      <w:r>
        <w:rPr>
          <w:rFonts w:ascii="Bookman Old Style" w:hAnsi="Bookman Old Style"/>
          <w:sz w:val="24"/>
          <w:szCs w:val="24"/>
        </w:rPr>
        <w:t>Pejabat Pengelola Informasi dan Dokumentasi (PPID) Pelaksana dijabat oleh para Panitera Muda dan para Kepala Bagian atau Kepala Sub Bagian ;</w:t>
      </w:r>
    </w:p>
    <w:p>
      <w:pPr>
        <w:pStyle w:val="ListParagraph"/>
        <w:numPr>
          <w:ilvl w:val="0"/>
          <w:numId w:val="4"/>
        </w:numPr>
        <w:spacing w:lineRule="auto" w:line="360"/>
        <w:ind w:left="851" w:hanging="360"/>
        <w:rPr>
          <w:rFonts w:ascii="Bookman Old Style" w:hAnsi="Bookman Old Style"/>
          <w:sz w:val="24"/>
          <w:szCs w:val="24"/>
        </w:rPr>
      </w:pPr>
      <w:r>
        <w:rPr>
          <w:rFonts w:ascii="Bookman Old Style" w:hAnsi="Bookman Old Style"/>
          <w:sz w:val="24"/>
          <w:szCs w:val="24"/>
        </w:rPr>
        <w:t>Petugas Layanan Informasi dijabat oleh aparatur Pengadilan yang ditunjuk oleh atasan PPID.</w:t>
      </w:r>
    </w:p>
    <w:p>
      <w:pPr>
        <w:pStyle w:val="ListParagraph"/>
        <w:spacing w:lineRule="auto" w:line="360"/>
        <w:ind w:left="851" w:hanging="0"/>
        <w:rPr>
          <w:rFonts w:ascii="Bookman Old Style" w:hAnsi="Bookman Old Style"/>
          <w:sz w:val="24"/>
          <w:szCs w:val="24"/>
        </w:rPr>
      </w:pPr>
      <w:r>
        <w:rPr>
          <w:rFonts w:ascii="Bookman Old Style" w:hAnsi="Bookman Old Style"/>
          <w:sz w:val="24"/>
          <w:szCs w:val="24"/>
        </w:rPr>
      </w:r>
    </w:p>
    <w:p>
      <w:pPr>
        <w:pStyle w:val="ListParagraph"/>
        <w:numPr>
          <w:ilvl w:val="0"/>
          <w:numId w:val="2"/>
        </w:numPr>
        <w:spacing w:lineRule="auto" w:line="360"/>
        <w:ind w:left="426" w:hanging="360"/>
        <w:rPr>
          <w:rFonts w:ascii="Bookman Old Style" w:hAnsi="Bookman Old Style"/>
          <w:sz w:val="24"/>
          <w:szCs w:val="24"/>
        </w:rPr>
      </w:pPr>
      <w:r>
        <w:rPr>
          <w:rFonts w:ascii="Bookman Old Style" w:hAnsi="Bookman Old Style"/>
          <w:sz w:val="24"/>
          <w:szCs w:val="24"/>
        </w:rPr>
        <w:t>Anggaran</w:t>
      </w:r>
    </w:p>
    <w:p>
      <w:pPr>
        <w:pStyle w:val="ListParagraph"/>
        <w:spacing w:lineRule="auto" w:line="360"/>
        <w:ind w:left="426" w:firstLine="850"/>
        <w:rPr>
          <w:rFonts w:ascii="Bookman Old Style" w:hAnsi="Bookman Old Style"/>
          <w:color w:val="FF0000"/>
          <w:sz w:val="24"/>
          <w:szCs w:val="24"/>
        </w:rPr>
      </w:pPr>
      <w:r>
        <w:rPr>
          <w:rFonts w:ascii="Bookman Old Style" w:hAnsi="Bookman Old Style"/>
          <w:sz w:val="24"/>
          <w:szCs w:val="24"/>
        </w:rPr>
        <w:t>Anggaran yang dipergunakan untuk menunjang Pelayanan Informasi pada tahun 2023 ini bersumber pada DIPA Tahun Anggaran 2023 yaitu SP DIPA Nomor : SP DIPA- 005.03.2.400493/2023 Badan Peradilan Umum dengan jumlah sebesar Rp. 235.514.000,- (dua ratus tiga puluh lima juta lima ratus empat belas ribu rupiah).</w:t>
      </w:r>
    </w:p>
    <w:p>
      <w:pPr>
        <w:pStyle w:val="ListParagraph"/>
        <w:spacing w:lineRule="auto" w:line="360"/>
        <w:ind w:left="426" w:hanging="0"/>
        <w:rPr>
          <w:rFonts w:ascii="Bookman Old Style" w:hAnsi="Bookman Old Style"/>
          <w:sz w:val="24"/>
          <w:szCs w:val="24"/>
        </w:rPr>
      </w:pPr>
      <w:r>
        <w:rPr>
          <w:rFonts w:ascii="Bookman Old Style" w:hAnsi="Bookman Old Style"/>
          <w:sz w:val="24"/>
          <w:szCs w:val="24"/>
        </w:rPr>
      </w:r>
    </w:p>
    <w:p>
      <w:pPr>
        <w:pStyle w:val="ListParagraph"/>
        <w:numPr>
          <w:ilvl w:val="0"/>
          <w:numId w:val="1"/>
        </w:numPr>
        <w:ind w:left="284" w:hanging="360"/>
        <w:rPr>
          <w:rFonts w:ascii="Bookman Old Style" w:hAnsi="Bookman Old Style"/>
          <w:b/>
          <w:b/>
          <w:sz w:val="24"/>
          <w:szCs w:val="24"/>
        </w:rPr>
      </w:pPr>
      <w:r>
        <w:rPr>
          <w:rFonts w:ascii="Bookman Old Style" w:hAnsi="Bookman Old Style"/>
          <w:b/>
          <w:sz w:val="24"/>
          <w:szCs w:val="24"/>
        </w:rPr>
        <w:t>DATA PELAYANAN INFORMASI</w:t>
      </w:r>
    </w:p>
    <w:tbl>
      <w:tblPr>
        <w:tblStyle w:val="TableGrid"/>
        <w:tblW w:w="10175"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418"/>
        <w:gridCol w:w="1125"/>
        <w:gridCol w:w="1143"/>
        <w:gridCol w:w="930"/>
        <w:gridCol w:w="784"/>
        <w:gridCol w:w="1234"/>
        <w:gridCol w:w="1130"/>
        <w:gridCol w:w="1404"/>
        <w:gridCol w:w="1006"/>
      </w:tblGrid>
      <w:tr>
        <w:trPr/>
        <w:tc>
          <w:tcPr>
            <w:tcW w:w="1418" w:type="dxa"/>
            <w:vMerge w:val="restart"/>
            <w:tcBorders/>
          </w:tcPr>
          <w:p>
            <w:pPr>
              <w:pStyle w:val="ListParagraph"/>
              <w:widowControl w:val="false"/>
              <w:suppressAutoHyphens w:val="true"/>
              <w:spacing w:lineRule="auto" w:line="240" w:before="0" w:after="0"/>
              <w:ind w:left="0" w:right="180" w:hanging="0"/>
              <w:contextualSpacing/>
              <w:jc w:val="center"/>
              <w:rPr/>
            </w:pPr>
            <w:r>
              <w:rPr>
                <w:rFonts w:eastAsia="Calibri" w:cs="" w:ascii="Bookman Old Style" w:hAnsi="Bookman Old Style"/>
                <w:kern w:val="0"/>
                <w:sz w:val="16"/>
                <w:szCs w:val="18"/>
                <w:lang w:val="en-US" w:eastAsia="en-US" w:bidi="ar-SA"/>
              </w:rPr>
              <w:t>Jenis Informasi</w:t>
            </w:r>
          </w:p>
        </w:tc>
        <w:tc>
          <w:tcPr>
            <w:tcW w:w="1125" w:type="dxa"/>
            <w:vMerge w:val="restart"/>
            <w:tcBorders/>
          </w:tcPr>
          <w:p>
            <w:pPr>
              <w:pStyle w:val="ListParagraph"/>
              <w:widowControl w:val="false"/>
              <w:suppressAutoHyphens w:val="true"/>
              <w:spacing w:lineRule="auto" w:line="240" w:before="0" w:after="0"/>
              <w:ind w:left="0"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Jumlah Pemohon</w:t>
            </w:r>
          </w:p>
        </w:tc>
        <w:tc>
          <w:tcPr>
            <w:tcW w:w="1143" w:type="dxa"/>
            <w:vMerge w:val="restart"/>
            <w:tcBorders/>
          </w:tcPr>
          <w:p>
            <w:pPr>
              <w:pStyle w:val="ListParagraph"/>
              <w:widowControl w:val="false"/>
              <w:suppressAutoHyphens w:val="true"/>
              <w:spacing w:lineRule="auto" w:line="240" w:before="0" w:after="0"/>
              <w:ind w:left="0" w:right="-109"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Waktu Rata-rata Pelayanan</w:t>
            </w:r>
          </w:p>
        </w:tc>
        <w:tc>
          <w:tcPr>
            <w:tcW w:w="1714" w:type="dxa"/>
            <w:gridSpan w:val="2"/>
            <w:tcBorders/>
          </w:tcPr>
          <w:p>
            <w:pPr>
              <w:pStyle w:val="ListParagraph"/>
              <w:widowControl w:val="false"/>
              <w:suppressAutoHyphens w:val="true"/>
              <w:spacing w:lineRule="auto" w:line="240" w:before="0" w:after="0"/>
              <w:ind w:left="0"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Jumlah Permohonan yang dikabulkan</w:t>
            </w:r>
          </w:p>
        </w:tc>
        <w:tc>
          <w:tcPr>
            <w:tcW w:w="1234" w:type="dxa"/>
            <w:vMerge w:val="restart"/>
            <w:tcBorders/>
          </w:tcPr>
          <w:p>
            <w:pPr>
              <w:pStyle w:val="ListParagraph"/>
              <w:widowControl w:val="false"/>
              <w:suppressAutoHyphens w:val="true"/>
              <w:spacing w:lineRule="auto" w:line="240" w:before="0" w:after="0"/>
              <w:ind w:left="0" w:right="33"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Jumlah Permohonan yang Ditolak</w:t>
            </w:r>
          </w:p>
        </w:tc>
        <w:tc>
          <w:tcPr>
            <w:tcW w:w="3540" w:type="dxa"/>
            <w:gridSpan w:val="3"/>
            <w:tcBorders/>
          </w:tcPr>
          <w:p>
            <w:pPr>
              <w:pStyle w:val="ListParagraph"/>
              <w:widowControl w:val="false"/>
              <w:suppressAutoHyphens w:val="true"/>
              <w:spacing w:lineRule="auto" w:line="240" w:before="0" w:after="0"/>
              <w:ind w:left="40"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Alasan Permohonan yang Ditolak</w:t>
            </w:r>
          </w:p>
        </w:tc>
      </w:tr>
      <w:tr>
        <w:trPr/>
        <w:tc>
          <w:tcPr>
            <w:tcW w:w="1418" w:type="dxa"/>
            <w:vMerge w:val="continue"/>
            <w:tcBorders/>
          </w:tcPr>
          <w:p>
            <w:pPr>
              <w:pStyle w:val="ListParagraph"/>
              <w:widowControl w:val="false"/>
              <w:suppressAutoHyphens w:val="true"/>
              <w:spacing w:lineRule="auto" w:line="240" w:before="0" w:after="0"/>
              <w:ind w:left="426" w:hanging="0"/>
              <w:contextualSpacing/>
              <w:jc w:val="center"/>
              <w:rPr>
                <w:rFonts w:ascii="Bookman Old Style" w:hAnsi="Bookman Old Style"/>
                <w:sz w:val="16"/>
                <w:szCs w:val="18"/>
              </w:rPr>
            </w:pPr>
            <w:r>
              <w:rPr>
                <w:rFonts w:ascii="Bookman Old Style" w:hAnsi="Bookman Old Style"/>
                <w:sz w:val="16"/>
                <w:szCs w:val="18"/>
              </w:rPr>
            </w:r>
          </w:p>
        </w:tc>
        <w:tc>
          <w:tcPr>
            <w:tcW w:w="1125" w:type="dxa"/>
            <w:vMerge w:val="continue"/>
            <w:tcBorders/>
          </w:tcPr>
          <w:p>
            <w:pPr>
              <w:pStyle w:val="ListParagraph"/>
              <w:widowControl w:val="false"/>
              <w:suppressAutoHyphens w:val="true"/>
              <w:spacing w:lineRule="auto" w:line="240" w:before="0" w:after="0"/>
              <w:ind w:left="426" w:hanging="0"/>
              <w:contextualSpacing/>
              <w:jc w:val="both"/>
              <w:rPr>
                <w:rFonts w:ascii="Bookman Old Style" w:hAnsi="Bookman Old Style"/>
                <w:sz w:val="16"/>
                <w:szCs w:val="18"/>
              </w:rPr>
            </w:pPr>
            <w:r>
              <w:rPr>
                <w:rFonts w:ascii="Bookman Old Style" w:hAnsi="Bookman Old Style"/>
                <w:sz w:val="16"/>
                <w:szCs w:val="18"/>
              </w:rPr>
            </w:r>
          </w:p>
        </w:tc>
        <w:tc>
          <w:tcPr>
            <w:tcW w:w="1143" w:type="dxa"/>
            <w:vMerge w:val="continue"/>
            <w:tcBorders/>
          </w:tcPr>
          <w:p>
            <w:pPr>
              <w:pStyle w:val="ListParagraph"/>
              <w:widowControl w:val="false"/>
              <w:suppressAutoHyphens w:val="true"/>
              <w:spacing w:lineRule="auto" w:line="240" w:before="0" w:after="0"/>
              <w:ind w:left="426" w:hanging="0"/>
              <w:contextualSpacing/>
              <w:jc w:val="both"/>
              <w:rPr>
                <w:rFonts w:ascii="Bookman Old Style" w:hAnsi="Bookman Old Style"/>
                <w:sz w:val="16"/>
                <w:szCs w:val="18"/>
              </w:rPr>
            </w:pPr>
            <w:r>
              <w:rPr>
                <w:rFonts w:ascii="Bookman Old Style" w:hAnsi="Bookman Old Style"/>
                <w:sz w:val="16"/>
                <w:szCs w:val="18"/>
              </w:rPr>
            </w:r>
          </w:p>
        </w:tc>
        <w:tc>
          <w:tcPr>
            <w:tcW w:w="930" w:type="dxa"/>
            <w:tcBorders/>
          </w:tcPr>
          <w:p>
            <w:pPr>
              <w:pStyle w:val="ListParagraph"/>
              <w:widowControl w:val="false"/>
              <w:suppressAutoHyphens w:val="true"/>
              <w:spacing w:lineRule="auto" w:line="240" w:before="0" w:after="0"/>
              <w:ind w:left="-96"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Sepenuhnya</w:t>
            </w:r>
          </w:p>
        </w:tc>
        <w:tc>
          <w:tcPr>
            <w:tcW w:w="78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Sebagian</w:t>
            </w:r>
          </w:p>
        </w:tc>
        <w:tc>
          <w:tcPr>
            <w:tcW w:w="1234" w:type="dxa"/>
            <w:vMerge w:val="continue"/>
            <w:tcBorders/>
          </w:tcPr>
          <w:p>
            <w:pPr>
              <w:pStyle w:val="ListParagraph"/>
              <w:widowControl w:val="false"/>
              <w:suppressAutoHyphens w:val="true"/>
              <w:spacing w:lineRule="auto" w:line="240" w:before="0" w:after="0"/>
              <w:ind w:left="426" w:hanging="0"/>
              <w:contextualSpacing/>
              <w:jc w:val="both"/>
              <w:rPr>
                <w:rFonts w:ascii="Bookman Old Style" w:hAnsi="Bookman Old Style"/>
                <w:sz w:val="16"/>
                <w:szCs w:val="18"/>
              </w:rPr>
            </w:pPr>
            <w:r>
              <w:rPr>
                <w:rFonts w:ascii="Bookman Old Style" w:hAnsi="Bookman Old Style"/>
                <w:sz w:val="16"/>
                <w:szCs w:val="18"/>
              </w:rPr>
            </w:r>
          </w:p>
        </w:tc>
        <w:tc>
          <w:tcPr>
            <w:tcW w:w="1130" w:type="dxa"/>
            <w:tcBorders/>
          </w:tcPr>
          <w:p>
            <w:pPr>
              <w:pStyle w:val="ListParagraph"/>
              <w:widowControl w:val="false"/>
              <w:suppressAutoHyphens w:val="true"/>
              <w:spacing w:lineRule="auto" w:line="240" w:before="0" w:after="0"/>
              <w:ind w:left="40" w:right="198"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Rahasia</w:t>
            </w:r>
          </w:p>
        </w:tc>
        <w:tc>
          <w:tcPr>
            <w:tcW w:w="1404" w:type="dxa"/>
            <w:tcBorders/>
          </w:tcPr>
          <w:p>
            <w:pPr>
              <w:pStyle w:val="ListParagraph"/>
              <w:widowControl w:val="false"/>
              <w:suppressAutoHyphens w:val="true"/>
              <w:spacing w:lineRule="auto" w:line="240" w:before="0" w:after="0"/>
              <w:ind w:left="34"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Belum dikuasasi/Selesai</w:t>
            </w:r>
          </w:p>
        </w:tc>
        <w:tc>
          <w:tcPr>
            <w:tcW w:w="1006" w:type="dxa"/>
            <w:tcBorders/>
          </w:tcPr>
          <w:p>
            <w:pPr>
              <w:pStyle w:val="ListParagraph"/>
              <w:widowControl w:val="false"/>
              <w:suppressAutoHyphens w:val="true"/>
              <w:spacing w:lineRule="auto" w:line="240" w:before="0" w:after="0"/>
              <w:ind w:left="-98" w:right="37" w:hanging="0"/>
              <w:contextualSpacing/>
              <w:jc w:val="both"/>
              <w:rPr>
                <w:rFonts w:ascii="Bookman Old Style" w:hAnsi="Bookman Old Style"/>
                <w:sz w:val="16"/>
                <w:szCs w:val="18"/>
              </w:rPr>
            </w:pPr>
            <w:r>
              <w:rPr>
                <w:rFonts w:eastAsia="Calibri" w:cs="" w:ascii="Bookman Old Style" w:hAnsi="Bookman Old Style"/>
                <w:kern w:val="0"/>
                <w:sz w:val="16"/>
                <w:szCs w:val="18"/>
                <w:lang w:val="en-US" w:eastAsia="en-US" w:bidi="ar-SA"/>
              </w:rPr>
              <w:t>Lainnya</w:t>
            </w:r>
          </w:p>
        </w:tc>
      </w:tr>
      <w:tr>
        <w:trPr/>
        <w:tc>
          <w:tcPr>
            <w:tcW w:w="1418" w:type="dxa"/>
            <w:tcBorders/>
          </w:tcPr>
          <w:p>
            <w:pPr>
              <w:pStyle w:val="ListParagraph"/>
              <w:widowControl w:val="false"/>
              <w:suppressAutoHyphens w:val="true"/>
              <w:spacing w:lineRule="auto" w:line="240" w:before="0" w:after="0"/>
              <w:ind w:left="29" w:hanging="0"/>
              <w:contextualSpacing/>
              <w:jc w:val="center"/>
              <w:rPr/>
            </w:pPr>
            <w:r>
              <w:rPr>
                <w:rFonts w:eastAsia="Calibri" w:cs="" w:ascii="Bookman Old Style" w:hAnsi="Bookman Old Style"/>
                <w:kern w:val="0"/>
                <w:sz w:val="18"/>
                <w:szCs w:val="18"/>
                <w:lang w:val="en-US" w:eastAsia="en-US" w:bidi="ar-SA"/>
              </w:rPr>
              <w:t>Informasi Perkara dan Putusan</w:t>
            </w:r>
          </w:p>
        </w:tc>
        <w:tc>
          <w:tcPr>
            <w:tcW w:w="1125" w:type="dxa"/>
            <w:tcBorders/>
          </w:tcPr>
          <w:p>
            <w:pPr>
              <w:pStyle w:val="Normal"/>
              <w:widowControl w:val="false"/>
              <w:suppressAutoHyphens w:val="true"/>
              <w:spacing w:lineRule="auto" w:line="240" w:before="0" w:after="0"/>
              <w:jc w:val="center"/>
              <w:rPr/>
            </w:pPr>
            <w:r>
              <w:rPr>
                <w:rFonts w:eastAsia="Calibri" w:cs="" w:ascii="Bookman Old Style" w:hAnsi="Bookman Old Style"/>
                <w:kern w:val="0"/>
                <w:sz w:val="18"/>
                <w:szCs w:val="18"/>
                <w:lang w:val="en-US" w:eastAsia="en-US" w:bidi="ar-SA"/>
              </w:rPr>
              <w:t>-</w:t>
            </w:r>
          </w:p>
        </w:tc>
        <w:tc>
          <w:tcPr>
            <w:tcW w:w="1143" w:type="dxa"/>
            <w:tcBorders/>
          </w:tcPr>
          <w:p>
            <w:pPr>
              <w:pStyle w:val="ListParagraph"/>
              <w:widowControl w:val="false"/>
              <w:suppressAutoHyphens w:val="true"/>
              <w:spacing w:lineRule="auto" w:line="240" w:before="0" w:after="0"/>
              <w:ind w:left="46"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930"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78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23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130"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404"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06"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418" w:type="dxa"/>
            <w:tcBorders/>
          </w:tcPr>
          <w:p>
            <w:pPr>
              <w:pStyle w:val="ListParagraph"/>
              <w:widowControl w:val="false"/>
              <w:suppressAutoHyphens w:val="true"/>
              <w:spacing w:lineRule="auto" w:line="240" w:before="0" w:after="0"/>
              <w:ind w:left="29" w:hanging="0"/>
              <w:contextualSpacing/>
              <w:jc w:val="center"/>
              <w:rPr/>
            </w:pPr>
            <w:r>
              <w:rPr>
                <w:rFonts w:eastAsia="Calibri" w:cs="" w:ascii="Bookman Old Style" w:hAnsi="Bookman Old Style"/>
                <w:kern w:val="0"/>
                <w:sz w:val="18"/>
                <w:szCs w:val="18"/>
                <w:lang w:val="en-US" w:eastAsia="en-US" w:bidi="ar-SA"/>
              </w:rPr>
              <w:t>Informasi Kepegawaian</w:t>
            </w:r>
          </w:p>
          <w:p>
            <w:pPr>
              <w:pStyle w:val="ListParagraph"/>
              <w:widowControl w:val="false"/>
              <w:suppressAutoHyphens w:val="true"/>
              <w:spacing w:lineRule="auto" w:line="240" w:before="0" w:after="0"/>
              <w:ind w:left="0" w:hanging="0"/>
              <w:contextualSpacing/>
              <w:jc w:val="center"/>
              <w:rPr>
                <w:rFonts w:ascii="Bookman Old Style" w:hAnsi="Bookman Old Style"/>
                <w:sz w:val="18"/>
                <w:szCs w:val="18"/>
              </w:rPr>
            </w:pPr>
            <w:r>
              <w:rPr>
                <w:rFonts w:ascii="Bookman Old Style" w:hAnsi="Bookman Old Style"/>
                <w:sz w:val="18"/>
                <w:szCs w:val="18"/>
              </w:rPr>
            </w:r>
          </w:p>
        </w:tc>
        <w:tc>
          <w:tcPr>
            <w:tcW w:w="1125" w:type="dxa"/>
            <w:tcBorders/>
          </w:tcPr>
          <w:p>
            <w:pPr>
              <w:pStyle w:val="Normal"/>
              <w:widowControl w:val="false"/>
              <w:suppressAutoHyphens w:val="true"/>
              <w:spacing w:lineRule="auto" w:line="240" w:before="0" w:after="0"/>
              <w:jc w:val="center"/>
              <w:rPr/>
            </w:pPr>
            <w:r>
              <w:rPr>
                <w:rFonts w:eastAsia="Calibri" w:cs="" w:ascii="Bookman Old Style" w:hAnsi="Bookman Old Style"/>
                <w:kern w:val="0"/>
                <w:sz w:val="18"/>
                <w:szCs w:val="18"/>
                <w:lang w:val="en-US" w:eastAsia="en-US" w:bidi="ar-SA"/>
              </w:rPr>
              <w:t>3</w:t>
            </w:r>
          </w:p>
        </w:tc>
        <w:tc>
          <w:tcPr>
            <w:tcW w:w="1143" w:type="dxa"/>
            <w:tcBorders/>
          </w:tcPr>
          <w:p>
            <w:pPr>
              <w:pStyle w:val="ListParagraph"/>
              <w:widowControl w:val="false"/>
              <w:tabs>
                <w:tab w:val="clear" w:pos="720"/>
                <w:tab w:val="left" w:pos="196" w:leader="none"/>
              </w:tabs>
              <w:suppressAutoHyphens w:val="true"/>
              <w:spacing w:lineRule="auto" w:line="240" w:before="0" w:after="0"/>
              <w:ind w:left="46"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1 hari</w:t>
            </w:r>
          </w:p>
        </w:tc>
        <w:tc>
          <w:tcPr>
            <w:tcW w:w="930" w:type="dxa"/>
            <w:tcBorders/>
          </w:tcPr>
          <w:p>
            <w:pPr>
              <w:pStyle w:val="Normal"/>
              <w:widowControl w:val="false"/>
              <w:suppressAutoHyphens w:val="true"/>
              <w:spacing w:lineRule="auto" w:line="240" w:before="0" w:after="0"/>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2</w:t>
            </w:r>
          </w:p>
        </w:tc>
        <w:tc>
          <w:tcPr>
            <w:tcW w:w="78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23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130"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404"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06"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418" w:type="dxa"/>
            <w:tcBorders/>
          </w:tcPr>
          <w:p>
            <w:pPr>
              <w:pStyle w:val="ListParagraph"/>
              <w:widowControl w:val="false"/>
              <w:suppressAutoHyphens w:val="true"/>
              <w:spacing w:lineRule="auto" w:line="240" w:before="0" w:after="0"/>
              <w:ind w:left="29" w:hanging="0"/>
              <w:contextualSpacing/>
              <w:jc w:val="center"/>
              <w:rPr/>
            </w:pPr>
            <w:r>
              <w:rPr>
                <w:rFonts w:eastAsia="Calibri" w:cs="" w:ascii="Bookman Old Style" w:hAnsi="Bookman Old Style"/>
                <w:kern w:val="0"/>
                <w:sz w:val="18"/>
                <w:szCs w:val="18"/>
                <w:lang w:val="en-US" w:eastAsia="en-US" w:bidi="ar-SA"/>
              </w:rPr>
              <w:t>Informasi Pengawasan dan Disiplin</w:t>
            </w:r>
          </w:p>
        </w:tc>
        <w:tc>
          <w:tcPr>
            <w:tcW w:w="1125" w:type="dxa"/>
            <w:tcBorders/>
          </w:tcPr>
          <w:p>
            <w:pPr>
              <w:pStyle w:val="Normal"/>
              <w:widowControl w:val="false"/>
              <w:suppressAutoHyphens w:val="true"/>
              <w:spacing w:lineRule="auto" w:line="240" w:before="0" w:after="0"/>
              <w:ind w:left="426" w:hanging="0"/>
              <w:jc w:val="center"/>
              <w:rPr/>
            </w:pPr>
            <w:r>
              <w:rPr>
                <w:rFonts w:eastAsia="Calibri" w:cs="" w:ascii="Bookman Old Style" w:hAnsi="Bookman Old Style"/>
                <w:kern w:val="0"/>
                <w:sz w:val="18"/>
                <w:szCs w:val="18"/>
                <w:lang w:val="en-US" w:eastAsia="en-US" w:bidi="ar-SA"/>
              </w:rPr>
              <w:t>-</w:t>
            </w:r>
          </w:p>
        </w:tc>
        <w:tc>
          <w:tcPr>
            <w:tcW w:w="1143" w:type="dxa"/>
            <w:tcBorders/>
          </w:tcPr>
          <w:p>
            <w:pPr>
              <w:pStyle w:val="ListParagraph"/>
              <w:widowControl w:val="false"/>
              <w:suppressAutoHyphens w:val="true"/>
              <w:spacing w:lineRule="auto" w:line="240" w:before="0" w:after="0"/>
              <w:ind w:left="46"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930"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78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23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130"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404"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06"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418" w:type="dxa"/>
            <w:tcBorders/>
          </w:tcPr>
          <w:p>
            <w:pPr>
              <w:pStyle w:val="ListParagraph"/>
              <w:widowControl w:val="false"/>
              <w:suppressAutoHyphens w:val="true"/>
              <w:spacing w:lineRule="auto" w:line="240" w:before="0" w:after="0"/>
              <w:ind w:left="29" w:hanging="0"/>
              <w:contextualSpacing/>
              <w:jc w:val="center"/>
              <w:rPr/>
            </w:pPr>
            <w:r>
              <w:rPr>
                <w:rFonts w:eastAsia="Calibri" w:cs="" w:ascii="Bookman Old Style" w:hAnsi="Bookman Old Style"/>
                <w:kern w:val="0"/>
                <w:sz w:val="18"/>
                <w:szCs w:val="18"/>
                <w:lang w:val="en-US" w:eastAsia="en-US" w:bidi="ar-SA"/>
              </w:rPr>
              <w:t>Informasi Anggaran dan Aset</w:t>
            </w:r>
          </w:p>
        </w:tc>
        <w:tc>
          <w:tcPr>
            <w:tcW w:w="1125" w:type="dxa"/>
            <w:tcBorders/>
          </w:tcPr>
          <w:p>
            <w:pPr>
              <w:pStyle w:val="Normal"/>
              <w:widowControl w:val="false"/>
              <w:suppressAutoHyphens w:val="true"/>
              <w:spacing w:lineRule="auto" w:line="240" w:before="0" w:after="0"/>
              <w:jc w:val="center"/>
              <w:rPr/>
            </w:pPr>
            <w:r>
              <w:rPr>
                <w:rFonts w:eastAsia="Calibri" w:cs="" w:ascii="Bookman Old Style" w:hAnsi="Bookman Old Style"/>
                <w:kern w:val="0"/>
                <w:sz w:val="18"/>
                <w:szCs w:val="18"/>
                <w:lang w:val="en-US" w:eastAsia="en-US" w:bidi="ar-SA"/>
              </w:rPr>
              <w:t>-</w:t>
            </w:r>
          </w:p>
        </w:tc>
        <w:tc>
          <w:tcPr>
            <w:tcW w:w="1143" w:type="dxa"/>
            <w:tcBorders/>
          </w:tcPr>
          <w:p>
            <w:pPr>
              <w:pStyle w:val="ListParagraph"/>
              <w:widowControl w:val="false"/>
              <w:suppressAutoHyphens w:val="true"/>
              <w:spacing w:lineRule="auto" w:line="240" w:before="0" w:after="0"/>
              <w:ind w:left="46"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930"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78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23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130"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404"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06"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418" w:type="dxa"/>
            <w:tcBorders/>
          </w:tcPr>
          <w:p>
            <w:pPr>
              <w:pStyle w:val="ListParagraph"/>
              <w:widowControl w:val="false"/>
              <w:suppressAutoHyphens w:val="true"/>
              <w:spacing w:lineRule="auto" w:line="240" w:before="0" w:after="0"/>
              <w:ind w:left="29" w:hanging="0"/>
              <w:contextualSpacing/>
              <w:jc w:val="center"/>
              <w:rPr/>
            </w:pPr>
            <w:r>
              <w:rPr>
                <w:rFonts w:eastAsia="Calibri" w:cs="" w:ascii="Bookman Old Style" w:hAnsi="Bookman Old Style"/>
                <w:kern w:val="0"/>
                <w:sz w:val="18"/>
                <w:szCs w:val="18"/>
                <w:lang w:val="en-US" w:eastAsia="en-US" w:bidi="ar-SA"/>
              </w:rPr>
              <w:t>Informasi Lain-lain</w:t>
            </w:r>
          </w:p>
        </w:tc>
        <w:tc>
          <w:tcPr>
            <w:tcW w:w="1125" w:type="dxa"/>
            <w:tcBorders/>
          </w:tcPr>
          <w:p>
            <w:pPr>
              <w:pStyle w:val="Normal"/>
              <w:widowControl w:val="false"/>
              <w:suppressAutoHyphens w:val="true"/>
              <w:spacing w:lineRule="auto" w:line="240" w:before="0" w:after="0"/>
              <w:jc w:val="center"/>
              <w:rPr/>
            </w:pPr>
            <w:r>
              <w:rPr>
                <w:rFonts w:eastAsia="Calibri" w:cs="" w:ascii="Bookman Old Style" w:hAnsi="Bookman Old Style"/>
                <w:kern w:val="0"/>
                <w:sz w:val="18"/>
                <w:szCs w:val="18"/>
                <w:lang w:val="en-US" w:eastAsia="en-US" w:bidi="ar-SA"/>
              </w:rPr>
              <w:t>-</w:t>
            </w:r>
          </w:p>
        </w:tc>
        <w:tc>
          <w:tcPr>
            <w:tcW w:w="1143" w:type="dxa"/>
            <w:tcBorders/>
          </w:tcPr>
          <w:p>
            <w:pPr>
              <w:pStyle w:val="ListParagraph"/>
              <w:widowControl w:val="false"/>
              <w:suppressAutoHyphens w:val="true"/>
              <w:spacing w:lineRule="auto" w:line="240" w:before="0" w:after="0"/>
              <w:ind w:left="46"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930"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78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234"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kern w:val="0"/>
                <w:sz w:val="18"/>
                <w:szCs w:val="18"/>
                <w:lang w:val="en-US" w:eastAsia="en-US" w:bidi="ar-SA"/>
              </w:rPr>
              <w:t xml:space="preserve">    </w:t>
            </w:r>
            <w:r>
              <w:rPr>
                <w:rFonts w:eastAsia="Calibri" w:cs="" w:ascii="Bookman Old Style" w:hAnsi="Bookman Old Style"/>
                <w:kern w:val="0"/>
                <w:sz w:val="18"/>
                <w:szCs w:val="18"/>
                <w:lang w:val="en-US" w:eastAsia="en-US" w:bidi="ar-SA"/>
              </w:rPr>
              <w:t>-</w:t>
            </w:r>
          </w:p>
        </w:tc>
        <w:tc>
          <w:tcPr>
            <w:tcW w:w="1130"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404"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06"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418" w:type="dxa"/>
            <w:tcBorders/>
          </w:tcPr>
          <w:p>
            <w:pPr>
              <w:pStyle w:val="ListParagraph"/>
              <w:widowControl w:val="false"/>
              <w:suppressAutoHyphens w:val="true"/>
              <w:spacing w:lineRule="auto" w:line="240" w:before="0" w:after="0"/>
              <w:ind w:left="0" w:hanging="0"/>
              <w:contextualSpacing/>
              <w:jc w:val="center"/>
              <w:rPr/>
            </w:pPr>
            <w:r>
              <w:rPr>
                <w:rFonts w:eastAsia="Calibri" w:cs="" w:ascii="Bookman Old Style" w:hAnsi="Bookman Old Style"/>
                <w:b/>
                <w:kern w:val="0"/>
                <w:sz w:val="18"/>
                <w:szCs w:val="18"/>
                <w:lang w:val="en-US" w:eastAsia="en-US" w:bidi="ar-SA"/>
              </w:rPr>
              <w:t>Total</w:t>
            </w:r>
          </w:p>
          <w:p>
            <w:pPr>
              <w:pStyle w:val="ListParagraph"/>
              <w:widowControl w:val="false"/>
              <w:suppressAutoHyphens w:val="true"/>
              <w:spacing w:lineRule="auto" w:line="240" w:before="0" w:after="0"/>
              <w:ind w:left="0" w:hanging="0"/>
              <w:contextualSpacing/>
              <w:jc w:val="center"/>
              <w:rPr>
                <w:rFonts w:ascii="Bookman Old Style" w:hAnsi="Bookman Old Style"/>
                <w:b/>
                <w:b/>
                <w:sz w:val="18"/>
                <w:szCs w:val="18"/>
              </w:rPr>
            </w:pPr>
            <w:r>
              <w:rPr>
                <w:rFonts w:ascii="Bookman Old Style" w:hAnsi="Bookman Old Style"/>
                <w:b/>
                <w:sz w:val="18"/>
                <w:szCs w:val="18"/>
              </w:rPr>
            </w:r>
          </w:p>
        </w:tc>
        <w:tc>
          <w:tcPr>
            <w:tcW w:w="1125" w:type="dxa"/>
            <w:tcBorders/>
          </w:tcPr>
          <w:p>
            <w:pPr>
              <w:pStyle w:val="Normal"/>
              <w:widowControl w:val="false"/>
              <w:suppressAutoHyphens w:val="true"/>
              <w:spacing w:lineRule="auto" w:line="240" w:before="0" w:after="0"/>
              <w:ind w:left="31" w:hanging="0"/>
              <w:jc w:val="left"/>
              <w:rPr>
                <w:b/>
                <w:b/>
                <w:bCs/>
              </w:rPr>
            </w:pPr>
            <w:r>
              <w:rPr>
                <w:rFonts w:eastAsia="Calibri" w:cs="" w:ascii="Bookman Old Style" w:hAnsi="Bookman Old Style"/>
                <w:b/>
                <w:bCs/>
                <w:kern w:val="0"/>
                <w:sz w:val="18"/>
                <w:szCs w:val="18"/>
                <w:lang w:val="en-US" w:eastAsia="en-US" w:bidi="ar-SA"/>
              </w:rPr>
              <w:t xml:space="preserve">     </w:t>
            </w:r>
            <w:r>
              <w:rPr>
                <w:rFonts w:eastAsia="Calibri" w:cs="" w:ascii="Bookman Old Style" w:hAnsi="Bookman Old Style"/>
                <w:b/>
                <w:bCs/>
                <w:kern w:val="0"/>
                <w:sz w:val="18"/>
                <w:szCs w:val="18"/>
                <w:lang w:val="en-US" w:eastAsia="en-US" w:bidi="ar-SA"/>
              </w:rPr>
              <w:t>3</w:t>
            </w:r>
          </w:p>
        </w:tc>
        <w:tc>
          <w:tcPr>
            <w:tcW w:w="1143" w:type="dxa"/>
            <w:tcBorders/>
          </w:tcPr>
          <w:p>
            <w:pPr>
              <w:pStyle w:val="Normal"/>
              <w:widowControl w:val="false"/>
              <w:suppressAutoHyphens w:val="true"/>
              <w:spacing w:lineRule="auto" w:line="240" w:before="0" w:after="0"/>
              <w:ind w:left="31" w:hanging="0"/>
              <w:jc w:val="left"/>
              <w:rPr>
                <w:b/>
                <w:b/>
                <w:bCs/>
              </w:rPr>
            </w:pPr>
            <w:r>
              <w:rPr>
                <w:rFonts w:eastAsia="Calibri" w:cs="" w:ascii="Bookman Old Style" w:hAnsi="Bookman Old Style"/>
                <w:b/>
                <w:bCs/>
                <w:kern w:val="0"/>
                <w:sz w:val="18"/>
                <w:szCs w:val="18"/>
                <w:lang w:val="en-US" w:eastAsia="en-US" w:bidi="ar-SA"/>
              </w:rPr>
              <w:t xml:space="preserve">    </w:t>
            </w:r>
            <w:r>
              <w:rPr>
                <w:rFonts w:eastAsia="Calibri" w:cs="" w:ascii="Bookman Old Style" w:hAnsi="Bookman Old Style"/>
                <w:b/>
                <w:bCs/>
                <w:kern w:val="0"/>
                <w:sz w:val="18"/>
                <w:szCs w:val="18"/>
                <w:lang w:val="en-US" w:eastAsia="en-US" w:bidi="ar-SA"/>
              </w:rPr>
              <w:t>0.2 hari</w:t>
            </w:r>
          </w:p>
        </w:tc>
        <w:tc>
          <w:tcPr>
            <w:tcW w:w="930" w:type="dxa"/>
            <w:tcBorders/>
          </w:tcPr>
          <w:p>
            <w:pPr>
              <w:pStyle w:val="ListParagraph"/>
              <w:widowControl w:val="false"/>
              <w:suppressAutoHyphens w:val="true"/>
              <w:spacing w:lineRule="auto" w:line="240" w:before="0" w:after="0"/>
              <w:ind w:left="0" w:hanging="0"/>
              <w:contextualSpacing/>
              <w:jc w:val="center"/>
              <w:rPr>
                <w:b/>
                <w:b/>
                <w:bCs/>
              </w:rPr>
            </w:pPr>
            <w:r>
              <w:rPr>
                <w:rFonts w:eastAsia="Calibri" w:cs="" w:ascii="Bookman Old Style" w:hAnsi="Bookman Old Style"/>
                <w:b/>
                <w:bCs/>
                <w:kern w:val="0"/>
                <w:sz w:val="18"/>
                <w:szCs w:val="18"/>
                <w:lang w:val="en-US" w:eastAsia="en-US" w:bidi="ar-SA"/>
              </w:rPr>
              <w:t xml:space="preserve">   </w:t>
            </w:r>
            <w:r>
              <w:rPr>
                <w:rFonts w:eastAsia="Calibri" w:cs="" w:ascii="Bookman Old Style" w:hAnsi="Bookman Old Style"/>
                <w:b/>
                <w:bCs/>
                <w:kern w:val="0"/>
                <w:sz w:val="18"/>
                <w:szCs w:val="18"/>
                <w:lang w:val="en-US" w:eastAsia="en-US" w:bidi="ar-SA"/>
              </w:rPr>
              <w:t>2</w:t>
            </w:r>
          </w:p>
        </w:tc>
        <w:tc>
          <w:tcPr>
            <w:tcW w:w="784" w:type="dxa"/>
            <w:tcBorders/>
          </w:tcPr>
          <w:p>
            <w:pPr>
              <w:pStyle w:val="ListParagraph"/>
              <w:widowControl w:val="false"/>
              <w:suppressAutoHyphens w:val="true"/>
              <w:spacing w:lineRule="auto" w:line="240" w:before="0" w:after="0"/>
              <w:ind w:left="238" w:hanging="0"/>
              <w:contextualSpacing/>
              <w:jc w:val="center"/>
              <w:rPr>
                <w:b/>
                <w:b/>
                <w:bCs/>
              </w:rPr>
            </w:pPr>
            <w:r>
              <w:rPr>
                <w:rFonts w:eastAsia="Calibri" w:cs="" w:ascii="Bookman Old Style" w:hAnsi="Bookman Old Style"/>
                <w:b/>
                <w:bCs/>
                <w:kern w:val="0"/>
                <w:sz w:val="18"/>
                <w:szCs w:val="18"/>
                <w:lang w:val="en-US" w:eastAsia="en-US" w:bidi="ar-SA"/>
              </w:rPr>
              <w:t>-</w:t>
            </w:r>
          </w:p>
        </w:tc>
        <w:tc>
          <w:tcPr>
            <w:tcW w:w="1234" w:type="dxa"/>
            <w:tcBorders/>
          </w:tcPr>
          <w:p>
            <w:pPr>
              <w:pStyle w:val="ListParagraph"/>
              <w:widowControl w:val="false"/>
              <w:suppressAutoHyphens w:val="true"/>
              <w:spacing w:lineRule="auto" w:line="240" w:before="0" w:after="0"/>
              <w:ind w:left="426" w:hanging="0"/>
              <w:contextualSpacing/>
              <w:jc w:val="center"/>
              <w:rPr>
                <w:b/>
                <w:b/>
                <w:bCs/>
              </w:rPr>
            </w:pPr>
            <w:r>
              <w:rPr>
                <w:rFonts w:eastAsia="Calibri" w:cs="" w:ascii="Bookman Old Style" w:hAnsi="Bookman Old Style"/>
                <w:b/>
                <w:bCs/>
                <w:kern w:val="0"/>
                <w:sz w:val="18"/>
                <w:szCs w:val="18"/>
                <w:lang w:val="en-US" w:eastAsia="en-US" w:bidi="ar-SA"/>
              </w:rPr>
              <w:t>-</w:t>
            </w:r>
          </w:p>
        </w:tc>
        <w:tc>
          <w:tcPr>
            <w:tcW w:w="1130"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404"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06" w:type="dxa"/>
            <w:tcBorders/>
          </w:tcPr>
          <w:p>
            <w:pPr>
              <w:pStyle w:val="ListParagraph"/>
              <w:widowControl w:val="false"/>
              <w:suppressAutoHyphens w:val="true"/>
              <w:spacing w:lineRule="auto" w:line="240" w:before="0" w:after="0"/>
              <w:ind w:left="426" w:hanging="0"/>
              <w:contextualSpacing/>
              <w:jc w:val="left"/>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bl>
    <w:p>
      <w:pPr>
        <w:pStyle w:val="Normal"/>
        <w:rPr>
          <w:rFonts w:ascii="Bookman Old Style" w:hAnsi="Bookman Old Style"/>
          <w:sz w:val="12"/>
          <w:szCs w:val="24"/>
        </w:rPr>
      </w:pPr>
      <w:r>
        <w:rPr>
          <w:rFonts w:ascii="Bookman Old Style" w:hAnsi="Bookman Old Style"/>
          <w:sz w:val="12"/>
          <w:szCs w:val="24"/>
        </w:rPr>
      </w:r>
    </w:p>
    <w:p>
      <w:pPr>
        <w:pStyle w:val="ListParagraph"/>
        <w:numPr>
          <w:ilvl w:val="0"/>
          <w:numId w:val="1"/>
        </w:numPr>
        <w:ind w:left="284" w:hanging="360"/>
        <w:rPr>
          <w:rFonts w:ascii="Bookman Old Style" w:hAnsi="Bookman Old Style"/>
          <w:b/>
          <w:b/>
          <w:sz w:val="24"/>
          <w:szCs w:val="24"/>
        </w:rPr>
      </w:pPr>
      <w:r>
        <w:rPr>
          <w:rFonts w:ascii="Bookman Old Style" w:hAnsi="Bookman Old Style"/>
          <w:b/>
          <w:sz w:val="24"/>
          <w:szCs w:val="24"/>
        </w:rPr>
        <w:t>DATA PENYELESAIAN SENGKETA INFORMASI</w:t>
      </w:r>
    </w:p>
    <w:tbl>
      <w:tblPr>
        <w:tblStyle w:val="TableGrid"/>
        <w:tblW w:w="10206"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368"/>
        <w:gridCol w:w="1333"/>
        <w:gridCol w:w="1095"/>
        <w:gridCol w:w="966"/>
        <w:gridCol w:w="1354"/>
        <w:gridCol w:w="946"/>
        <w:gridCol w:w="724"/>
        <w:gridCol w:w="1318"/>
        <w:gridCol w:w="1101"/>
      </w:tblGrid>
      <w:tr>
        <w:trPr/>
        <w:tc>
          <w:tcPr>
            <w:tcW w:w="1368" w:type="dxa"/>
            <w:vMerge w:val="restart"/>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Jenis Informasi</w:t>
            </w:r>
          </w:p>
        </w:tc>
        <w:tc>
          <w:tcPr>
            <w:tcW w:w="1333" w:type="dxa"/>
            <w:vMerge w:val="restart"/>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Jumlah Permohonan Keberatan</w:t>
            </w:r>
          </w:p>
        </w:tc>
        <w:tc>
          <w:tcPr>
            <w:tcW w:w="2061" w:type="dxa"/>
            <w:gridSpan w:val="2"/>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Tanggapan Atasan PPID Atas Keberatan</w:t>
            </w:r>
          </w:p>
        </w:tc>
        <w:tc>
          <w:tcPr>
            <w:tcW w:w="1354" w:type="dxa"/>
            <w:vMerge w:val="restart"/>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Penyelesaian Sengketa Ke Komisi Informasi</w:t>
            </w:r>
          </w:p>
        </w:tc>
        <w:tc>
          <w:tcPr>
            <w:tcW w:w="1670" w:type="dxa"/>
            <w:gridSpan w:val="2"/>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Hasil Mediasi di Komisi Informasi</w:t>
            </w:r>
          </w:p>
        </w:tc>
        <w:tc>
          <w:tcPr>
            <w:tcW w:w="2419" w:type="dxa"/>
            <w:gridSpan w:val="2"/>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Status Putusan Komisi Informasi</w:t>
            </w:r>
          </w:p>
        </w:tc>
      </w:tr>
      <w:tr>
        <w:trPr/>
        <w:tc>
          <w:tcPr>
            <w:tcW w:w="1368" w:type="dxa"/>
            <w:vMerge w:val="continue"/>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ascii="Bookman Old Style" w:hAnsi="Bookman Old Style"/>
                <w:sz w:val="18"/>
                <w:szCs w:val="18"/>
              </w:rPr>
            </w:r>
          </w:p>
        </w:tc>
        <w:tc>
          <w:tcPr>
            <w:tcW w:w="1333" w:type="dxa"/>
            <w:vMerge w:val="continue"/>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ascii="Bookman Old Style" w:hAnsi="Bookman Old Style"/>
                <w:sz w:val="18"/>
                <w:szCs w:val="18"/>
              </w:rPr>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Menerima</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Menolak</w:t>
            </w:r>
          </w:p>
        </w:tc>
        <w:tc>
          <w:tcPr>
            <w:tcW w:w="1354" w:type="dxa"/>
            <w:vMerge w:val="continue"/>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ascii="Bookman Old Style" w:hAnsi="Bookman Old Style"/>
                <w:sz w:val="18"/>
                <w:szCs w:val="18"/>
              </w:rPr>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Berhasil</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Gagal</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Menguatkan Pengadilan</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Menguatkan Pemohon Informasi</w:t>
            </w:r>
          </w:p>
        </w:tc>
      </w:tr>
      <w:tr>
        <w:trPr/>
        <w:tc>
          <w:tcPr>
            <w:tcW w:w="136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Perkara &amp; Putusan</w:t>
            </w:r>
          </w:p>
        </w:tc>
        <w:tc>
          <w:tcPr>
            <w:tcW w:w="1333"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5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36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Kepegawaian</w:t>
            </w:r>
          </w:p>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ascii="Bookman Old Style" w:hAnsi="Bookman Old Style"/>
                <w:sz w:val="18"/>
                <w:szCs w:val="18"/>
              </w:rPr>
            </w:r>
          </w:p>
        </w:tc>
        <w:tc>
          <w:tcPr>
            <w:tcW w:w="1333"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5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36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Pengawasan &amp; Pendisplipan</w:t>
            </w:r>
          </w:p>
        </w:tc>
        <w:tc>
          <w:tcPr>
            <w:tcW w:w="1333"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5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36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Anggaran &amp; Aset</w:t>
            </w:r>
          </w:p>
        </w:tc>
        <w:tc>
          <w:tcPr>
            <w:tcW w:w="1333"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5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36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Lainnya</w:t>
            </w:r>
          </w:p>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ascii="Bookman Old Style" w:hAnsi="Bookman Old Style"/>
                <w:sz w:val="18"/>
                <w:szCs w:val="18"/>
              </w:rPr>
            </w:r>
          </w:p>
        </w:tc>
        <w:tc>
          <w:tcPr>
            <w:tcW w:w="1333"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5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r>
        <w:trPr/>
        <w:tc>
          <w:tcPr>
            <w:tcW w:w="136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b/>
                <w:b/>
                <w:sz w:val="18"/>
                <w:szCs w:val="18"/>
              </w:rPr>
            </w:pPr>
            <w:r>
              <w:rPr>
                <w:rFonts w:eastAsia="Calibri" w:cs="" w:ascii="Bookman Old Style" w:hAnsi="Bookman Old Style"/>
                <w:b/>
                <w:kern w:val="0"/>
                <w:sz w:val="18"/>
                <w:szCs w:val="18"/>
                <w:lang w:val="en-US" w:eastAsia="en-US" w:bidi="ar-SA"/>
              </w:rPr>
              <w:t>Total</w:t>
            </w:r>
          </w:p>
        </w:tc>
        <w:tc>
          <w:tcPr>
            <w:tcW w:w="1333"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095"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6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5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946"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724"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318"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c>
          <w:tcPr>
            <w:tcW w:w="1101" w:type="dxa"/>
            <w:tcBorders/>
          </w:tcPr>
          <w:p>
            <w:pPr>
              <w:pStyle w:val="ListParagraph"/>
              <w:widowControl w:val="false"/>
              <w:suppressAutoHyphens w:val="true"/>
              <w:spacing w:lineRule="auto" w:line="240" w:before="0" w:after="0"/>
              <w:ind w:left="0" w:hanging="0"/>
              <w:contextualSpacing/>
              <w:jc w:val="both"/>
              <w:rPr>
                <w:rFonts w:ascii="Bookman Old Style" w:hAnsi="Bookman Old Style"/>
                <w:sz w:val="18"/>
                <w:szCs w:val="18"/>
              </w:rPr>
            </w:pPr>
            <w:r>
              <w:rPr>
                <w:rFonts w:eastAsia="Calibri" w:cs="" w:ascii="Bookman Old Style" w:hAnsi="Bookman Old Style"/>
                <w:kern w:val="0"/>
                <w:sz w:val="18"/>
                <w:szCs w:val="18"/>
                <w:lang w:val="en-US" w:eastAsia="en-US" w:bidi="ar-SA"/>
              </w:rPr>
              <w:t>-</w:t>
            </w:r>
          </w:p>
        </w:tc>
      </w:tr>
    </w:tbl>
    <w:p>
      <w:pPr>
        <w:pStyle w:val="ListParagraph"/>
        <w:spacing w:lineRule="auto" w:line="360"/>
        <w:ind w:left="284" w:hanging="0"/>
        <w:rPr>
          <w:rFonts w:ascii="Bookman Old Style" w:hAnsi="Bookman Old Style"/>
          <w:b/>
          <w:b/>
          <w:sz w:val="24"/>
          <w:szCs w:val="24"/>
        </w:rPr>
      </w:pPr>
      <w:r>
        <w:rPr>
          <w:rFonts w:ascii="Bookman Old Style" w:hAnsi="Bookman Old Style"/>
          <w:b/>
          <w:sz w:val="24"/>
          <w:szCs w:val="24"/>
        </w:rPr>
      </w:r>
    </w:p>
    <w:p>
      <w:pPr>
        <w:pStyle w:val="ListParagraph"/>
        <w:spacing w:lineRule="auto" w:line="360"/>
        <w:ind w:left="284" w:hanging="0"/>
        <w:rPr>
          <w:rFonts w:ascii="Bookman Old Style" w:hAnsi="Bookman Old Style"/>
          <w:b/>
          <w:b/>
          <w:sz w:val="24"/>
          <w:szCs w:val="24"/>
        </w:rPr>
      </w:pPr>
      <w:r>
        <w:rPr>
          <w:rFonts w:ascii="Bookman Old Style" w:hAnsi="Bookman Old Style"/>
          <w:b/>
          <w:sz w:val="24"/>
          <w:szCs w:val="24"/>
        </w:rPr>
      </w:r>
    </w:p>
    <w:p>
      <w:pPr>
        <w:pStyle w:val="ListParagraph"/>
        <w:spacing w:lineRule="auto" w:line="360"/>
        <w:ind w:left="284" w:hanging="0"/>
        <w:rPr>
          <w:rFonts w:ascii="Bookman Old Style" w:hAnsi="Bookman Old Style"/>
          <w:b/>
          <w:b/>
          <w:sz w:val="24"/>
          <w:szCs w:val="24"/>
        </w:rPr>
      </w:pPr>
      <w:r>
        <w:rPr>
          <w:rFonts w:ascii="Bookman Old Style" w:hAnsi="Bookman Old Style"/>
          <w:b/>
          <w:sz w:val="24"/>
          <w:szCs w:val="24"/>
        </w:rPr>
      </w:r>
    </w:p>
    <w:p>
      <w:pPr>
        <w:pStyle w:val="ListParagraph"/>
        <w:numPr>
          <w:ilvl w:val="0"/>
          <w:numId w:val="1"/>
        </w:numPr>
        <w:spacing w:lineRule="auto" w:line="360"/>
        <w:ind w:left="284" w:hanging="360"/>
        <w:rPr>
          <w:rFonts w:ascii="Bookman Old Style" w:hAnsi="Bookman Old Style"/>
          <w:b/>
          <w:b/>
          <w:sz w:val="24"/>
          <w:szCs w:val="24"/>
        </w:rPr>
      </w:pPr>
      <w:r>
        <w:rPr>
          <w:rFonts w:ascii="Bookman Old Style" w:hAnsi="Bookman Old Style"/>
          <w:b/>
          <w:sz w:val="24"/>
          <w:szCs w:val="24"/>
        </w:rPr>
        <w:t>KENDALA EKSTERNAL DAN INTERNAL PELAYANAN INFORMASI</w:t>
      </w:r>
    </w:p>
    <w:p>
      <w:pPr>
        <w:pStyle w:val="ListParagraph"/>
        <w:spacing w:lineRule="auto" w:line="360"/>
        <w:ind w:left="284" w:hanging="0"/>
        <w:rPr>
          <w:rFonts w:ascii="Bookman Old Style" w:hAnsi="Bookman Old Style"/>
          <w:sz w:val="24"/>
          <w:szCs w:val="24"/>
        </w:rPr>
      </w:pPr>
      <w:r>
        <w:rPr>
          <w:rFonts w:ascii="Bookman Old Style" w:hAnsi="Bookman Old Style"/>
          <w:sz w:val="24"/>
          <w:szCs w:val="24"/>
        </w:rPr>
        <w:t>Kendala-kendala yang dihadapi dalam pelaksanaan Pelayanan Informasi di Pengadilan Tinggi Riau, yaitu :</w:t>
      </w:r>
    </w:p>
    <w:p>
      <w:pPr>
        <w:pStyle w:val="ListParagraph"/>
        <w:numPr>
          <w:ilvl w:val="0"/>
          <w:numId w:val="5"/>
        </w:numPr>
        <w:spacing w:lineRule="auto" w:line="360"/>
        <w:ind w:left="709" w:hanging="360"/>
        <w:rPr>
          <w:rFonts w:ascii="Bookman Old Style" w:hAnsi="Bookman Old Style"/>
          <w:color w:val="FF0000"/>
          <w:sz w:val="24"/>
          <w:szCs w:val="24"/>
        </w:rPr>
      </w:pPr>
      <w:r>
        <w:rPr>
          <w:rFonts w:ascii="Bookman Old Style" w:hAnsi="Bookman Old Style"/>
          <w:sz w:val="24"/>
          <w:szCs w:val="24"/>
        </w:rPr>
        <w:t xml:space="preserve">Tidak semua masyarakat di wilayah hukum Pengadilan Tinggi Riau dapat mengakses layanan </w:t>
      </w:r>
      <w:r>
        <w:rPr>
          <w:rFonts w:ascii="Bookman Old Style" w:hAnsi="Bookman Old Style"/>
          <w:i/>
          <w:sz w:val="24"/>
          <w:szCs w:val="24"/>
        </w:rPr>
        <w:t>online</w:t>
      </w:r>
      <w:r>
        <w:rPr>
          <w:rFonts w:ascii="Bookman Old Style" w:hAnsi="Bookman Old Style"/>
          <w:sz w:val="24"/>
          <w:szCs w:val="24"/>
        </w:rPr>
        <w:t xml:space="preserve"> yang tersedia, dimana masih terdapat daerah pedesaan dengan kondisi masyarakat yang masih tradisional.</w:t>
      </w:r>
    </w:p>
    <w:p>
      <w:pPr>
        <w:pStyle w:val="ListParagraph"/>
        <w:numPr>
          <w:ilvl w:val="0"/>
          <w:numId w:val="5"/>
        </w:numPr>
        <w:spacing w:lineRule="auto" w:line="360"/>
        <w:ind w:left="709" w:hanging="360"/>
        <w:rPr>
          <w:rFonts w:ascii="Bookman Old Style" w:hAnsi="Bookman Old Style"/>
          <w:color w:val="FF0000"/>
          <w:sz w:val="24"/>
          <w:szCs w:val="24"/>
        </w:rPr>
      </w:pPr>
      <w:r>
        <w:rPr>
          <w:rFonts w:ascii="Bookman Old Style" w:hAnsi="Bookman Old Style"/>
          <w:sz w:val="24"/>
          <w:szCs w:val="24"/>
        </w:rPr>
        <w:t>Para pihak yang ingin bertemu dengan Penjabat Pengadilan.</w:t>
      </w:r>
    </w:p>
    <w:p>
      <w:pPr>
        <w:pStyle w:val="ListParagraph"/>
        <w:numPr>
          <w:ilvl w:val="0"/>
          <w:numId w:val="5"/>
        </w:numPr>
        <w:spacing w:lineRule="auto" w:line="360"/>
        <w:ind w:left="709" w:hanging="360"/>
        <w:rPr>
          <w:rFonts w:ascii="Bookman Old Style" w:hAnsi="Bookman Old Style"/>
          <w:color w:val="FF0000"/>
          <w:sz w:val="24"/>
          <w:szCs w:val="24"/>
        </w:rPr>
      </w:pPr>
      <w:r>
        <w:rPr>
          <w:rFonts w:ascii="Bookman Old Style" w:hAnsi="Bookman Old Style"/>
          <w:sz w:val="24"/>
          <w:szCs w:val="24"/>
        </w:rPr>
        <w:t>Belum adanya tenaga yang mengerti Bahasa Isyarat guna memenuhi kebutuhan informasi bagi Penyandang Disabilitas.</w:t>
      </w:r>
    </w:p>
    <w:p>
      <w:pPr>
        <w:pStyle w:val="ListParagraph"/>
        <w:spacing w:lineRule="auto" w:line="360"/>
        <w:ind w:left="709" w:hanging="0"/>
        <w:rPr>
          <w:rFonts w:ascii="Bookman Old Style" w:hAnsi="Bookman Old Style"/>
          <w:color w:val="FF0000"/>
          <w:sz w:val="24"/>
          <w:szCs w:val="24"/>
        </w:rPr>
      </w:pPr>
      <w:r>
        <w:rPr>
          <w:rFonts w:ascii="Bookman Old Style" w:hAnsi="Bookman Old Style"/>
          <w:color w:val="FF0000"/>
          <w:sz w:val="24"/>
          <w:szCs w:val="24"/>
        </w:rPr>
      </w:r>
    </w:p>
    <w:p>
      <w:pPr>
        <w:pStyle w:val="ListParagraph"/>
        <w:numPr>
          <w:ilvl w:val="0"/>
          <w:numId w:val="1"/>
        </w:numPr>
        <w:spacing w:lineRule="auto" w:line="360"/>
        <w:ind w:left="284" w:hanging="360"/>
        <w:rPr>
          <w:rFonts w:ascii="Bookman Old Style" w:hAnsi="Bookman Old Style"/>
          <w:b/>
          <w:b/>
          <w:color w:val="000000" w:themeColor="text1"/>
          <w:sz w:val="24"/>
          <w:szCs w:val="24"/>
        </w:rPr>
      </w:pPr>
      <w:r>
        <w:rPr>
          <w:rFonts w:ascii="Bookman Old Style" w:hAnsi="Bookman Old Style"/>
          <w:b/>
          <w:color w:val="000000" w:themeColor="text1"/>
          <w:sz w:val="24"/>
          <w:szCs w:val="24"/>
        </w:rPr>
        <w:t xml:space="preserve">REKOMENDASI DAN RENCANA TINDAK LANJUT PENINGKATAN KUALITAS PELAYANAN INFORMASI </w:t>
      </w:r>
    </w:p>
    <w:p>
      <w:pPr>
        <w:pStyle w:val="ListParagraph"/>
        <w:spacing w:lineRule="auto" w:line="360"/>
        <w:ind w:left="284" w:hanging="0"/>
        <w:rPr>
          <w:rFonts w:ascii="Bookman Old Style" w:hAnsi="Bookman Old Style"/>
          <w:color w:val="000000" w:themeColor="text1"/>
          <w:sz w:val="24"/>
          <w:szCs w:val="24"/>
        </w:rPr>
      </w:pPr>
      <w:r>
        <w:rPr>
          <w:rFonts w:ascii="Bookman Old Style" w:hAnsi="Bookman Old Style"/>
          <w:color w:val="000000" w:themeColor="text1"/>
          <w:sz w:val="24"/>
          <w:szCs w:val="24"/>
        </w:rPr>
        <w:t>Berikut adalah rekomendasi dan rencana tindak lanjut yang dapat kami sampaikan dalam rangka Peningkatan Kualitas Pelayanan Informasi :</w:t>
      </w:r>
    </w:p>
    <w:p>
      <w:pPr>
        <w:pStyle w:val="ListParagraph"/>
        <w:numPr>
          <w:ilvl w:val="0"/>
          <w:numId w:val="6"/>
        </w:numPr>
        <w:spacing w:lineRule="auto" w:line="360"/>
        <w:ind w:left="709" w:hanging="360"/>
        <w:rPr>
          <w:rFonts w:ascii="Bookman Old Style" w:hAnsi="Bookman Old Style"/>
          <w:color w:val="000000" w:themeColor="text1"/>
          <w:sz w:val="24"/>
          <w:szCs w:val="24"/>
        </w:rPr>
      </w:pPr>
      <w:r>
        <w:rPr>
          <w:rFonts w:ascii="Bookman Old Style" w:hAnsi="Bookman Old Style"/>
          <w:color w:val="000000" w:themeColor="text1"/>
          <w:sz w:val="24"/>
          <w:szCs w:val="24"/>
        </w:rPr>
        <w:t xml:space="preserve">Melakukan sosialisasi dan proaktif memberikan penjelasan kepada pengunjung bahwa informasi pada Pengadilan Tinggi Riau dapat juga diakses secara </w:t>
      </w:r>
      <w:r>
        <w:rPr>
          <w:rFonts w:ascii="Bookman Old Style" w:hAnsi="Bookman Old Style"/>
          <w:i/>
          <w:color w:val="000000" w:themeColor="text1"/>
          <w:sz w:val="24"/>
          <w:szCs w:val="24"/>
        </w:rPr>
        <w:t>online.</w:t>
      </w:r>
    </w:p>
    <w:p>
      <w:pPr>
        <w:pStyle w:val="ListParagraph"/>
        <w:numPr>
          <w:ilvl w:val="0"/>
          <w:numId w:val="6"/>
        </w:numPr>
        <w:spacing w:lineRule="auto" w:line="360"/>
        <w:ind w:left="709" w:hanging="360"/>
        <w:rPr>
          <w:rFonts w:ascii="Bookman Old Style" w:hAnsi="Bookman Old Style"/>
          <w:color w:val="000000" w:themeColor="text1"/>
          <w:sz w:val="24"/>
          <w:szCs w:val="24"/>
        </w:rPr>
      </w:pPr>
      <w:r>
        <w:rPr>
          <w:rFonts w:ascii="Bookman Old Style" w:hAnsi="Bookman Old Style"/>
          <w:color w:val="000000" w:themeColor="text1"/>
          <w:sz w:val="24"/>
          <w:szCs w:val="24"/>
        </w:rPr>
        <w:t>Melakukan pengawasan terhadap petugas piket meja informasi.</w:t>
      </w:r>
    </w:p>
    <w:p>
      <w:pPr>
        <w:pStyle w:val="ListParagraph"/>
        <w:numPr>
          <w:ilvl w:val="0"/>
          <w:numId w:val="6"/>
        </w:numPr>
        <w:spacing w:lineRule="auto" w:line="360"/>
        <w:ind w:left="709" w:hanging="360"/>
        <w:rPr>
          <w:rFonts w:ascii="Bookman Old Style" w:hAnsi="Bookman Old Style"/>
          <w:color w:val="000000" w:themeColor="text1"/>
          <w:sz w:val="24"/>
          <w:szCs w:val="24"/>
        </w:rPr>
      </w:pPr>
      <w:r>
        <w:rPr>
          <w:rFonts w:ascii="Bookman Old Style" w:hAnsi="Bookman Old Style"/>
          <w:color w:val="000000" w:themeColor="text1"/>
          <w:sz w:val="24"/>
          <w:szCs w:val="24"/>
        </w:rPr>
        <w:t>Selalu meng-</w:t>
      </w:r>
      <w:r>
        <w:rPr>
          <w:rFonts w:ascii="Bookman Old Style" w:hAnsi="Bookman Old Style"/>
          <w:i/>
          <w:color w:val="000000" w:themeColor="text1"/>
          <w:sz w:val="24"/>
          <w:szCs w:val="24"/>
        </w:rPr>
        <w:t>update</w:t>
      </w:r>
      <w:r>
        <w:rPr>
          <w:rFonts w:ascii="Bookman Old Style" w:hAnsi="Bookman Old Style"/>
          <w:color w:val="000000" w:themeColor="text1"/>
          <w:sz w:val="24"/>
          <w:szCs w:val="24"/>
        </w:rPr>
        <w:t xml:space="preserve"> informasi terbaru yang digunakan pada Pengadilan Tinggi Riau.</w:t>
      </w:r>
    </w:p>
    <w:p>
      <w:pPr>
        <w:pStyle w:val="ListParagraph"/>
        <w:spacing w:lineRule="auto" w:line="360"/>
        <w:ind w:left="851" w:hanging="0"/>
        <w:rPr>
          <w:rFonts w:ascii="Bookman Old Style" w:hAnsi="Bookman Old Style"/>
          <w:color w:val="000000" w:themeColor="text1"/>
          <w:sz w:val="24"/>
          <w:szCs w:val="24"/>
        </w:rPr>
      </w:pPr>
      <w:r>
        <w:rPr>
          <w:rFonts w:ascii="Bookman Old Style" w:hAnsi="Bookman Old Style"/>
          <w:color w:val="000000" w:themeColor="text1"/>
          <w:sz w:val="24"/>
          <w:szCs w:val="24"/>
        </w:rPr>
      </w:r>
    </w:p>
    <w:p>
      <w:pPr>
        <w:pStyle w:val="ListParagraph"/>
        <w:spacing w:lineRule="auto" w:line="360"/>
        <w:ind w:left="0" w:firstLine="720"/>
        <w:rPr>
          <w:rFonts w:ascii="Bookman Old Style" w:hAnsi="Bookman Old Style"/>
          <w:color w:val="000000" w:themeColor="text1"/>
          <w:sz w:val="24"/>
          <w:szCs w:val="24"/>
        </w:rPr>
      </w:pPr>
      <w:r>
        <w:rPr>
          <w:rFonts w:ascii="Bookman Old Style" w:hAnsi="Bookman Old Style"/>
          <w:color w:val="000000" w:themeColor="text1"/>
          <w:sz w:val="24"/>
          <w:szCs w:val="24"/>
        </w:rPr>
        <w:t>Demikianlah Laporan Tahunan Pelayanan Informasi tahun 2023 ini kami sampaikan sebagai bahan pertimbangan dalam melaksanakan kebijakan pelayanan informasi selanjutnya.</w:t>
      </w:r>
    </w:p>
    <w:p>
      <w:pPr>
        <w:pStyle w:val="ListParagraph"/>
        <w:spacing w:lineRule="auto" w:line="360"/>
        <w:ind w:left="0" w:firstLine="720"/>
        <w:rPr>
          <w:rFonts w:ascii="Bookman Old Style" w:hAnsi="Bookman Old Style"/>
          <w:color w:val="000000" w:themeColor="text1"/>
          <w:sz w:val="12"/>
          <w:szCs w:val="24"/>
        </w:rPr>
      </w:pPr>
      <w:r>
        <w:rPr>
          <w:rFonts w:ascii="Bookman Old Style" w:hAnsi="Bookman Old Style"/>
          <w:color w:val="000000" w:themeColor="text1"/>
          <w:sz w:val="12"/>
          <w:szCs w:val="24"/>
        </w:rPr>
      </w:r>
    </w:p>
    <w:tbl>
      <w:tblPr>
        <w:tblW w:w="5103" w:type="dxa"/>
        <w:jc w:val="left"/>
        <w:tblInd w:w="4361" w:type="dxa"/>
        <w:tblLayout w:type="fixed"/>
        <w:tblCellMar>
          <w:top w:w="0" w:type="dxa"/>
          <w:left w:w="108" w:type="dxa"/>
          <w:bottom w:w="0" w:type="dxa"/>
          <w:right w:w="108" w:type="dxa"/>
        </w:tblCellMar>
        <w:tblLook w:val="04a0" w:noHBand="0" w:noVBand="1" w:firstColumn="1" w:lastRow="0" w:lastColumn="0" w:firstRow="1"/>
      </w:tblPr>
      <w:tblGrid>
        <w:gridCol w:w="5103"/>
      </w:tblGrid>
      <w:tr>
        <w:trPr/>
        <w:tc>
          <w:tcPr>
            <w:tcW w:w="5103" w:type="dxa"/>
            <w:tcBorders/>
            <w:shd w:color="auto" w:fill="auto" w:val="clear"/>
          </w:tcPr>
          <w:p>
            <w:pPr>
              <w:pStyle w:val="Normal"/>
              <w:widowControl w:val="false"/>
              <w:spacing w:lineRule="auto" w:line="360"/>
              <w:ind w:left="455" w:right="34" w:hanging="0"/>
              <w:rPr>
                <w:rFonts w:ascii="Bookman Old Style" w:hAnsi="Bookman Old Style" w:cs="Arial"/>
                <w:sz w:val="24"/>
                <w:szCs w:val="24"/>
              </w:rPr>
            </w:pPr>
            <w:r>
              <w:rPr>
                <w:rFonts w:cs="Arial" w:ascii="Bookman Old Style" w:hAnsi="Bookman Old Style"/>
                <w:sz w:val="24"/>
                <w:szCs w:val="24"/>
              </w:rPr>
              <w:t>Pekanbaru, 5 Juni 2024</w:t>
            </w:r>
          </w:p>
        </w:tc>
      </w:tr>
      <w:tr>
        <w:trPr>
          <w:trHeight w:val="1262" w:hRule="atLeast"/>
        </w:trPr>
        <w:tc>
          <w:tcPr>
            <w:tcW w:w="5103" w:type="dxa"/>
            <w:tcBorders/>
            <w:shd w:color="auto" w:fill="auto" w:val="clear"/>
          </w:tcPr>
          <w:p>
            <w:pPr>
              <w:pStyle w:val="Normal"/>
              <w:widowControl w:val="false"/>
              <w:tabs>
                <w:tab w:val="clear" w:pos="720"/>
                <w:tab w:val="left" w:pos="900" w:leader="none"/>
              </w:tabs>
              <w:spacing w:lineRule="auto" w:line="360"/>
              <w:ind w:left="455" w:hanging="0"/>
              <w:rPr>
                <w:rFonts w:ascii="Bookman Old Style" w:hAnsi="Bookman Old Style" w:cs="Arial"/>
                <w:sz w:val="24"/>
                <w:szCs w:val="24"/>
              </w:rPr>
            </w:pPr>
            <w:r>
              <w:rPr>
                <w:rFonts w:cs="Arial" w:ascii="Bookman Old Style" w:hAnsi="Bookman Old Style"/>
                <w:sz w:val="24"/>
                <w:szCs w:val="24"/>
              </w:rPr>
              <w:t>Ketua Pengadilan Tinggi Riau,</w:t>
            </w:r>
          </w:p>
        </w:tc>
      </w:tr>
      <w:tr>
        <w:trPr/>
        <w:tc>
          <w:tcPr>
            <w:tcW w:w="5103" w:type="dxa"/>
            <w:tcBorders/>
            <w:shd w:color="auto" w:fill="auto" w:val="clear"/>
          </w:tcPr>
          <w:p>
            <w:pPr>
              <w:pStyle w:val="Normal"/>
              <w:widowControl w:val="false"/>
              <w:spacing w:lineRule="auto" w:line="360"/>
              <w:ind w:left="455" w:hanging="0"/>
              <w:rPr>
                <w:rFonts w:ascii="Bookman Old Style" w:hAnsi="Bookman Old Style" w:cs="Arial"/>
                <w:b/>
                <w:b/>
                <w:sz w:val="24"/>
                <w:szCs w:val="24"/>
              </w:rPr>
            </w:pPr>
            <w:r>
              <w:rPr>
                <w:rFonts w:cs="Arial" w:ascii="Bookman Old Style" w:hAnsi="Bookman Old Style"/>
                <w:b/>
                <w:sz w:val="24"/>
                <w:szCs w:val="24"/>
              </w:rPr>
            </w:r>
          </w:p>
        </w:tc>
      </w:tr>
      <w:tr>
        <w:trPr/>
        <w:tc>
          <w:tcPr>
            <w:tcW w:w="5103" w:type="dxa"/>
            <w:tcBorders/>
            <w:shd w:color="auto" w:fill="auto" w:val="clear"/>
          </w:tcPr>
          <w:p>
            <w:pPr>
              <w:pStyle w:val="Normal"/>
              <w:widowControl w:val="false"/>
              <w:spacing w:lineRule="auto" w:line="360"/>
              <w:ind w:left="455" w:hanging="0"/>
              <w:rPr>
                <w:rFonts w:ascii="Bookman Old Style" w:hAnsi="Bookman Old Style" w:cs="Arial"/>
                <w:b/>
                <w:b/>
                <w:sz w:val="24"/>
                <w:szCs w:val="24"/>
              </w:rPr>
            </w:pPr>
            <w:r>
              <w:rPr>
                <w:rFonts w:cs="Arial" w:ascii="Bookman Old Style" w:hAnsi="Bookman Old Style"/>
                <w:b/>
                <w:sz w:val="24"/>
                <w:szCs w:val="24"/>
              </w:rPr>
              <w:t>SISWANDRIYONO</w:t>
            </w:r>
          </w:p>
        </w:tc>
      </w:tr>
    </w:tbl>
    <w:p>
      <w:pPr>
        <w:pStyle w:val="Normal"/>
        <w:rPr>
          <w:rFonts w:ascii="Bookman Old Style" w:hAnsi="Bookman Old Style"/>
          <w:color w:val="FF0000"/>
          <w:sz w:val="24"/>
          <w:szCs w:val="24"/>
        </w:rPr>
      </w:pPr>
      <w:r>
        <w:rPr/>
      </w:r>
    </w:p>
    <w:sectPr>
      <w:footerReference w:type="default" r:id="rId3"/>
      <w:type w:val="nextPage"/>
      <w:pgSz w:w="11906" w:h="16838"/>
      <w:pgMar w:left="1418" w:right="1134" w:gutter="0" w:header="0" w:top="1701" w:footer="720" w:bottom="141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Bookman Old Style">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82275887"/>
    </w:sdtPr>
    <w:sdtContent>
      <w:p>
        <w:pPr>
          <w:pStyle w:val="Footer"/>
          <w:jc w:val="right"/>
          <w:rPr>
            <w:i/>
            <w:i/>
          </w:rPr>
        </w:pPr>
        <w:r>
          <w:rPr>
            <w:i/>
          </w:rPr>
          <w:t xml:space="preserve">Hal. </w:t>
        </w:r>
        <w:r>
          <w:rPr>
            <w:i/>
          </w:rPr>
          <w:fldChar w:fldCharType="begin"/>
        </w:r>
        <w:r>
          <w:rPr>
            <w:i/>
          </w:rPr>
          <w:instrText xml:space="preserve"> PAGE </w:instrText>
        </w:r>
        <w:r>
          <w:rPr>
            <w:i/>
          </w:rPr>
          <w:fldChar w:fldCharType="separate"/>
        </w:r>
        <w:r>
          <w:rPr>
            <w:i/>
          </w:rPr>
          <w:t>3</w:t>
        </w:r>
        <w:r>
          <w:rPr>
            <w:i/>
          </w:rPr>
          <w:fldChar w:fldCharType="end"/>
        </w:r>
        <w:r>
          <w:rPr>
            <w:i/>
          </w:rPr>
          <w:t xml:space="preserve"> dari 5 Laporan Tahunan Pelayanan Informasi</w:t>
        </w:r>
      </w:p>
      <w:p>
        <w:pPr>
          <w:pStyle w:val="Footer"/>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3">
    <w:lvl w:ilvl="0">
      <w:start w:val="1"/>
      <w:numFmt w:val="lowerLetter"/>
      <w:lvlText w:val="%1)"/>
      <w:lvlJc w:val="left"/>
      <w:pPr>
        <w:tabs>
          <w:tab w:val="num" w:pos="0"/>
        </w:tabs>
        <w:ind w:left="2138" w:hanging="360"/>
      </w:pPr>
      <w:rPr/>
    </w:lvl>
    <w:lvl w:ilvl="1">
      <w:start w:val="1"/>
      <w:numFmt w:val="lowerLetter"/>
      <w:lvlText w:val="%2."/>
      <w:lvlJc w:val="left"/>
      <w:pPr>
        <w:tabs>
          <w:tab w:val="num" w:pos="0"/>
        </w:tabs>
        <w:ind w:left="2858" w:hanging="360"/>
      </w:pPr>
      <w:rPr/>
    </w:lvl>
    <w:lvl w:ilvl="2">
      <w:start w:val="1"/>
      <w:numFmt w:val="lowerRoman"/>
      <w:lvlText w:val="%3."/>
      <w:lvlJc w:val="right"/>
      <w:pPr>
        <w:tabs>
          <w:tab w:val="num" w:pos="0"/>
        </w:tabs>
        <w:ind w:left="3578" w:hanging="180"/>
      </w:pPr>
      <w:rPr/>
    </w:lvl>
    <w:lvl w:ilvl="3">
      <w:start w:val="1"/>
      <w:numFmt w:val="decimal"/>
      <w:lvlText w:val="%4."/>
      <w:lvlJc w:val="left"/>
      <w:pPr>
        <w:tabs>
          <w:tab w:val="num" w:pos="0"/>
        </w:tabs>
        <w:ind w:left="4298" w:hanging="360"/>
      </w:pPr>
      <w:rPr/>
    </w:lvl>
    <w:lvl w:ilvl="4">
      <w:start w:val="1"/>
      <w:numFmt w:val="lowerLetter"/>
      <w:lvlText w:val="%5."/>
      <w:lvlJc w:val="left"/>
      <w:pPr>
        <w:tabs>
          <w:tab w:val="num" w:pos="0"/>
        </w:tabs>
        <w:ind w:left="5018" w:hanging="360"/>
      </w:pPr>
      <w:rPr/>
    </w:lvl>
    <w:lvl w:ilvl="5">
      <w:start w:val="1"/>
      <w:numFmt w:val="lowerRoman"/>
      <w:lvlText w:val="%6."/>
      <w:lvlJc w:val="right"/>
      <w:pPr>
        <w:tabs>
          <w:tab w:val="num" w:pos="0"/>
        </w:tabs>
        <w:ind w:left="5738" w:hanging="180"/>
      </w:pPr>
      <w:rPr/>
    </w:lvl>
    <w:lvl w:ilvl="6">
      <w:start w:val="1"/>
      <w:numFmt w:val="decimal"/>
      <w:lvlText w:val="%7."/>
      <w:lvlJc w:val="left"/>
      <w:pPr>
        <w:tabs>
          <w:tab w:val="num" w:pos="0"/>
        </w:tabs>
        <w:ind w:left="6458" w:hanging="360"/>
      </w:pPr>
      <w:rPr/>
    </w:lvl>
    <w:lvl w:ilvl="7">
      <w:start w:val="1"/>
      <w:numFmt w:val="lowerLetter"/>
      <w:lvlText w:val="%8."/>
      <w:lvlJc w:val="left"/>
      <w:pPr>
        <w:tabs>
          <w:tab w:val="num" w:pos="0"/>
        </w:tabs>
        <w:ind w:left="7178" w:hanging="360"/>
      </w:pPr>
      <w:rPr/>
    </w:lvl>
    <w:lvl w:ilvl="8">
      <w:start w:val="1"/>
      <w:numFmt w:val="lowerRoman"/>
      <w:lvlText w:val="%9."/>
      <w:lvlJc w:val="right"/>
      <w:pPr>
        <w:tabs>
          <w:tab w:val="num" w:pos="0"/>
        </w:tabs>
        <w:ind w:left="7898" w:hanging="180"/>
      </w:pPr>
      <w:rPr/>
    </w:lvl>
  </w:abstractNum>
  <w:abstractNum w:abstractNumId="4">
    <w:lvl w:ilvl="0">
      <w:start w:val="1"/>
      <w:numFmt w:val="lowerLetter"/>
      <w:lvlText w:val="%1)"/>
      <w:lvlJc w:val="left"/>
      <w:pPr>
        <w:tabs>
          <w:tab w:val="num" w:pos="0"/>
        </w:tabs>
        <w:ind w:left="2160" w:hanging="360"/>
      </w:pPr>
      <w:rPr/>
    </w:lvl>
    <w:lvl w:ilvl="1">
      <w:start w:val="1"/>
      <w:numFmt w:val="lowerLetter"/>
      <w:lvlText w:val="%2."/>
      <w:lvlJc w:val="left"/>
      <w:pPr>
        <w:tabs>
          <w:tab w:val="num" w:pos="0"/>
        </w:tabs>
        <w:ind w:left="2880" w:hanging="360"/>
      </w:pPr>
      <w:rPr/>
    </w:lvl>
    <w:lvl w:ilvl="2">
      <w:start w:val="1"/>
      <w:numFmt w:val="lowerRoman"/>
      <w:lvlText w:val="%3."/>
      <w:lvlJc w:val="right"/>
      <w:pPr>
        <w:tabs>
          <w:tab w:val="num" w:pos="0"/>
        </w:tabs>
        <w:ind w:left="3600" w:hanging="180"/>
      </w:pPr>
      <w:rPr/>
    </w:lvl>
    <w:lvl w:ilvl="3">
      <w:start w:val="1"/>
      <w:numFmt w:val="decimal"/>
      <w:lvlText w:val="%4."/>
      <w:lvlJc w:val="left"/>
      <w:pPr>
        <w:tabs>
          <w:tab w:val="num" w:pos="0"/>
        </w:tabs>
        <w:ind w:left="4320" w:hanging="360"/>
      </w:pPr>
      <w:rPr/>
    </w:lvl>
    <w:lvl w:ilvl="4">
      <w:start w:val="1"/>
      <w:numFmt w:val="lowerLetter"/>
      <w:lvlText w:val="%5."/>
      <w:lvlJc w:val="left"/>
      <w:pPr>
        <w:tabs>
          <w:tab w:val="num" w:pos="0"/>
        </w:tabs>
        <w:ind w:left="5040" w:hanging="360"/>
      </w:pPr>
      <w:rPr/>
    </w:lvl>
    <w:lvl w:ilvl="5">
      <w:start w:val="1"/>
      <w:numFmt w:val="lowerRoman"/>
      <w:lvlText w:val="%6."/>
      <w:lvlJc w:val="right"/>
      <w:pPr>
        <w:tabs>
          <w:tab w:val="num" w:pos="0"/>
        </w:tabs>
        <w:ind w:left="5760" w:hanging="180"/>
      </w:pPr>
      <w:rPr/>
    </w:lvl>
    <w:lvl w:ilvl="6">
      <w:start w:val="1"/>
      <w:numFmt w:val="decimal"/>
      <w:lvlText w:val="%7."/>
      <w:lvlJc w:val="left"/>
      <w:pPr>
        <w:tabs>
          <w:tab w:val="num" w:pos="0"/>
        </w:tabs>
        <w:ind w:left="6480" w:hanging="360"/>
      </w:pPr>
      <w:rPr/>
    </w:lvl>
    <w:lvl w:ilvl="7">
      <w:start w:val="1"/>
      <w:numFmt w:val="lowerLetter"/>
      <w:lvlText w:val="%8."/>
      <w:lvlJc w:val="left"/>
      <w:pPr>
        <w:tabs>
          <w:tab w:val="num" w:pos="0"/>
        </w:tabs>
        <w:ind w:left="7200" w:hanging="360"/>
      </w:pPr>
      <w:rPr/>
    </w:lvl>
    <w:lvl w:ilvl="8">
      <w:start w:val="1"/>
      <w:numFmt w:val="lowerRoman"/>
      <w:lvlText w:val="%9."/>
      <w:lvlJc w:val="right"/>
      <w:pPr>
        <w:tabs>
          <w:tab w:val="num" w:pos="0"/>
        </w:tabs>
        <w:ind w:left="7920" w:hanging="180"/>
      </w:pPr>
      <w:rPr/>
    </w:lvl>
  </w:abstractNum>
  <w:abstractNum w:abstractNumId="5">
    <w:lvl w:ilvl="0">
      <w:start w:val="1"/>
      <w:numFmt w:val="decimal"/>
      <w:lvlText w:val="%1."/>
      <w:lvlJc w:val="left"/>
      <w:pPr>
        <w:tabs>
          <w:tab w:val="num" w:pos="0"/>
        </w:tabs>
        <w:ind w:left="1440" w:hanging="360"/>
      </w:pPr>
      <w:rPr>
        <w:color w:val="auto"/>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6">
    <w:lvl w:ilvl="0">
      <w:start w:val="1"/>
      <w:numFmt w:val="decimal"/>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35888"/>
    <w:pPr>
      <w:widowControl/>
      <w:suppressAutoHyphens w:val="true"/>
      <w:bidi w:val="0"/>
      <w:spacing w:lineRule="auto" w:line="480" w:before="0" w:after="0"/>
      <w:jc w:val="both"/>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6e2e04"/>
    <w:rPr>
      <w:rFonts w:ascii="Tahoma" w:hAnsi="Tahoma" w:cs="Tahoma"/>
      <w:sz w:val="16"/>
      <w:szCs w:val="16"/>
    </w:rPr>
  </w:style>
  <w:style w:type="character" w:styleId="HeaderChar" w:customStyle="1">
    <w:name w:val="Header Char"/>
    <w:basedOn w:val="DefaultParagraphFont"/>
    <w:link w:val="Header"/>
    <w:uiPriority w:val="99"/>
    <w:qFormat/>
    <w:rsid w:val="006002a9"/>
    <w:rPr/>
  </w:style>
  <w:style w:type="character" w:styleId="FooterChar" w:customStyle="1">
    <w:name w:val="Footer Char"/>
    <w:basedOn w:val="DefaultParagraphFont"/>
    <w:link w:val="Footer"/>
    <w:uiPriority w:val="99"/>
    <w:qFormat/>
    <w:rsid w:val="006002a9"/>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42674"/>
    <w:pPr>
      <w:spacing w:before="0" w:after="0"/>
      <w:ind w:left="720" w:hanging="0"/>
      <w:contextualSpacing/>
    </w:pPr>
    <w:rPr/>
  </w:style>
  <w:style w:type="paragraph" w:styleId="BalloonText">
    <w:name w:val="Balloon Text"/>
    <w:basedOn w:val="Normal"/>
    <w:link w:val="BalloonTextChar"/>
    <w:uiPriority w:val="99"/>
    <w:semiHidden/>
    <w:unhideWhenUsed/>
    <w:qFormat/>
    <w:rsid w:val="006e2e04"/>
    <w:pPr>
      <w:spacing w:lineRule="auto" w:line="24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6002a9"/>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6002a9"/>
    <w:pPr>
      <w:tabs>
        <w:tab w:val="clear" w:pos="720"/>
        <w:tab w:val="center" w:pos="4680" w:leader="none"/>
        <w:tab w:val="right" w:pos="9360" w:leader="none"/>
      </w:tabs>
      <w:spacing w:lineRule="auto" w:line="24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342674"/>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4B61E-7C10-4648-8C54-19A961160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3051</TotalTime>
  <Application>LibreOffice/7.3.7.2$Linux_X86_64 LibreOffice_project/30$Build-2</Application>
  <AppVersion>15.0000</AppVersion>
  <Pages>6</Pages>
  <Words>1092</Words>
  <Characters>7759</Characters>
  <CharactersWithSpaces>8735</CharactersWithSpaces>
  <Paragraphs>187</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2020-05-19T02:26:00Z</dcterms:created>
  <dc:creator>PERDATA</dc:creator>
  <dc:description/>
  <dc:language>en-US</dc:language>
  <cp:lastModifiedBy/>
  <cp:lastPrinted>2024-06-07T05:43:00Z</cp:lastPrinted>
  <dcterms:modified xsi:type="dcterms:W3CDTF">2025-09-04T22:24:56Z</dcterms:modified>
  <cp:revision>575</cp:revision>
  <dc:subject/>
  <dc:title/>
</cp:coreProperties>
</file>

<file path=docProps/custom.xml><?xml version="1.0" encoding="utf-8"?>
<Properties xmlns="http://schemas.openxmlformats.org/officeDocument/2006/custom-properties" xmlns:vt="http://schemas.openxmlformats.org/officeDocument/2006/docPropsVTypes"/>
</file>