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24"/>
          <w:szCs w:val="24"/>
          <w:b w:val="1"/>
          <w:bCs w:val="1"/>
        </w:rPr>
        <w:t xml:space="preserve">PENCAPAIAN KINERJA BULAN
JANUARI
TAHUN 2023</w:t>
      </w:r>
    </w:p>
    <w:tbl>
      <w:tblGrid>
        <w:gridCol w:w="500" w:type="dxa"/>
        <w:gridCol w:w="2000" w:type="dxa"/>
        <w:gridCol w:w="500" w:type="dxa"/>
        <w:gridCol w:w="2000" w:type="dxa"/>
        <w:gridCol w:w="1000" w:type="dxa"/>
        <w:gridCol w:w="1000" w:type="dxa"/>
        <w:gridCol w:w="1000" w:type="dxa"/>
      </w:tblGrid>
      <w:tblPr>
        <w:tblStyle w:val="Fancy Table"/>
      </w:tblPr>
      <w:tr>
        <w:trPr/>
        <w:tc>
          <w:tcPr>
            <w:tcW w:w="5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Sasaran Strategis</w:t>
            </w:r>
          </w:p>
        </w:tc>
        <w:tc>
          <w:tcPr>
            <w:tcW w:w="2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Indikator Kinerja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Target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Realisasi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Capaian</w:t>
            </w:r>
          </w:p>
        </w:tc>
      </w:tr>
      <w:tr>
        <w:trPr/>
        <w:tc>
          <w:tcPr>
            <w:tcW w:w="500" w:type="dxa"/>
            <w:vMerge w:val="restart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vMerge w:val="restart"/>
            <w:noWrap/>
          </w:tcPr>
          <w:p>
            <w:pPr/>
            <w:r>
              <w:rPr/>
              <w:t xml:space="preserve">Terwujudnya Peradilan yang Pasti,Transparan dan  Akuntabel.</w:t>
            </w:r>
          </w:p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Perdata yang Diselesaikan Tepat Waktu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93.33%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103.70%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PHI yang Diselesaikan Tepat Waktu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111.11%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Pidana yang Diselesaikan Tepat Waktu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111.11%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Pidana Khusus TIPIKOR yang diselesaikan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111.11%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Jumlah Putusan Yang Menggunakan Pendekatan Keadilan Restoratif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Pidana Perikananan yang diselesaikan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yang Tidak Mengajukan Upaya Hukum Banding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4.20%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4.67%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Yang Tidak Mengajukan Upaya Hukum Kasasi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19.05%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21.17%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Anak yang Diselesaikan dengan Diversi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Index Persepsi Pencari Keadilan Yang Puas Terhadap Layanan Peradilan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shd w:val="clear" w:fill="D9E1F2"/>
            <w:gridSpan w:val="6"/>
            <w:noWrap/>
          </w:tcPr>
          <w:p>
            <w:pPr>
              <w:jc w:val="center"/>
            </w:pPr>
            <w:r>
              <w:rPr/>
              <w:t xml:space="preserve">Rata - Rata Capaian Kinerja Sasaran Strategis 1</w:t>
            </w:r>
          </w:p>
        </w:tc>
        <w:tc>
          <w:tcPr>
            <w:tcW w:w="1000" w:type="dxa"/>
            <w:shd w:val="clear" w:fill="D9E1F2"/>
            <w:noWrap/>
          </w:tcPr>
          <w:p>
            <w:pPr>
              <w:jc w:val="center"/>
            </w:pPr>
            <w:r>
              <w:rPr/>
              <w:t xml:space="preserve">77.15%</w:t>
            </w:r>
          </w:p>
        </w:tc>
      </w:tr>
      <w:tr>
        <w:trPr/>
        <w:tc>
          <w:tcPr>
            <w:tcW w:w="500" w:type="dxa"/>
            <w:vMerge w:val="restart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vMerge w:val="restart"/>
            <w:noWrap/>
          </w:tcPr>
          <w:p>
            <w:pPr/>
            <w:r>
              <w:rPr/>
              <w:t xml:space="preserve">Peningkatan Efektivitas Pengelolaan Penyelesaian Perkara</w:t>
            </w:r>
          </w:p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Salinan Putusan Perkara Perdata yang disampaikan ke para Pihak tepat waktu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111.11%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Salinan Putusan Perkara Pidana yang disampaikan ke para pihak tepat waktu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111.11%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Perkara yang Diselesaikan Melalui Mediasi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9.09%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10.10%</w:t>
            </w:r>
          </w:p>
        </w:tc>
      </w:tr>
      <w:tr>
        <w:trPr/>
        <w:tc>
          <w:tcPr>
            <w:shd w:val="clear" w:fill="D9E1F2"/>
            <w:gridSpan w:val="6"/>
            <w:noWrap/>
          </w:tcPr>
          <w:p>
            <w:pPr>
              <w:jc w:val="center"/>
            </w:pPr>
            <w:r>
              <w:rPr/>
              <w:t xml:space="preserve">Rata - Rata Capaian Kinerja Sasaran Strategis 2</w:t>
            </w:r>
          </w:p>
        </w:tc>
        <w:tc>
          <w:tcPr>
            <w:tcW w:w="1000" w:type="dxa"/>
            <w:shd w:val="clear" w:fill="D9E1F2"/>
            <w:noWrap/>
          </w:tcPr>
          <w:p>
            <w:pPr>
              <w:jc w:val="center"/>
            </w:pPr>
            <w:r>
              <w:rPr/>
              <w:t xml:space="preserve">77.44%</w:t>
            </w:r>
          </w:p>
        </w:tc>
      </w:tr>
      <w:tr>
        <w:trPr/>
        <w:tc>
          <w:tcPr>
            <w:tcW w:w="500" w:type="dxa"/>
            <w:vMerge w:val="restart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vMerge w:val="restart"/>
            <w:noWrap/>
          </w:tcPr>
          <w:p>
            <w:pPr/>
            <w:r>
              <w:rPr/>
              <w:t xml:space="preserve">Terwujuclnya Peradilan yang Pasti,Transparan dan Akuntabel.</w:t>
            </w:r>
          </w:p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Presentase perkara prodeo yang diselesaikan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6.12%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6.80%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Presentase perkara yang diselesaikan diluar gedung pengadilan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tcW w:w="500" w:type="dxa"/>
            <w:vMerge w:val="continue"/>
            <w:noWrap/>
          </w:tcPr>
          <w:p/>
        </w:tc>
        <w:tc>
          <w:tcPr>
            <w:tcW w:w="2000" w:type="dxa"/>
            <w:vMerge w:val="continue"/>
            <w:noWrap/>
          </w:tcPr>
          <w:p/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Presentase Pencari Keadilan Golongan Tertentu yang mendapat Layanan Bantuan Hukum (Posbakum)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shd w:val="clear" w:fill="D9E1F2"/>
            <w:gridSpan w:val="6"/>
            <w:noWrap/>
          </w:tcPr>
          <w:p>
            <w:pPr>
              <w:jc w:val="center"/>
            </w:pPr>
            <w:r>
              <w:rPr/>
              <w:t xml:space="preserve">Rata - Rata Capaian Kinerja Sasaran Strategis 3</w:t>
            </w:r>
          </w:p>
        </w:tc>
        <w:tc>
          <w:tcPr>
            <w:tcW w:w="1000" w:type="dxa"/>
            <w:shd w:val="clear" w:fill="D9E1F2"/>
            <w:noWrap/>
          </w:tcPr>
          <w:p>
            <w:pPr>
              <w:jc w:val="center"/>
            </w:pPr>
            <w:r>
              <w:rPr/>
              <w:t xml:space="preserve">6.80%</w:t>
            </w:r>
          </w:p>
        </w:tc>
      </w:tr>
      <w:tr>
        <w:trPr/>
        <w:tc>
          <w:tcPr>
            <w:tcW w:w="500" w:type="dxa"/>
            <w:vMerge w:val="restart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vMerge w:val="restart"/>
            <w:noWrap/>
          </w:tcPr>
          <w:p>
            <w:pPr/>
            <w:r>
              <w:rPr/>
              <w:t xml:space="preserve">Peningkatan Efektivitas Pengelolaan Penyelesaian Perkara.</w:t>
            </w:r>
          </w:p>
        </w:tc>
        <w:tc>
          <w:tcPr>
            <w:tcW w:w="5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Persentase Putusan Perkara Perdata yang Ditindak lanjuti (Dieksekusi)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shd w:val="clear" w:fill="D9E1F2"/>
            <w:gridSpan w:val="6"/>
            <w:noWrap/>
          </w:tcPr>
          <w:p>
            <w:pPr>
              <w:jc w:val="center"/>
            </w:pPr>
            <w:r>
              <w:rPr/>
              <w:t xml:space="preserve">Rata - Rata Capaian Kinerja Sasaran Strategis 4</w:t>
            </w:r>
          </w:p>
        </w:tc>
        <w:tc>
          <w:tcPr>
            <w:tcW w:w="1000" w:type="dxa"/>
            <w:shd w:val="clear" w:fill="D9E1F2"/>
            <w:noWrap/>
          </w:tcPr>
          <w:p>
            <w:pPr>
              <w:jc w:val="center"/>
            </w:pPr>
            <w:r>
              <w:rPr/>
              <w:t xml:space="preserve">0.00%</w:t>
            </w:r>
          </w:p>
        </w:tc>
      </w:tr>
      <w:tr>
        <w:trPr/>
        <w:tc>
          <w:tcPr>
            <w:shd w:val="clear" w:fill="D9E1F2"/>
            <w:gridSpan w:val="6"/>
            <w:noWrap/>
          </w:tcPr>
          <w:p>
            <w:pPr>
              <w:jc w:val="center"/>
            </w:pPr>
            <w:r>
              <w:rPr/>
              <w:t xml:space="preserve">Rata - Rata Capaian Kinerja Keseluruhan</w:t>
            </w:r>
          </w:p>
        </w:tc>
        <w:tc>
          <w:tcPr>
            <w:tcW w:w="1000" w:type="dxa"/>
            <w:shd w:val="clear" w:fill="D9E1F2"/>
            <w:noWrap/>
          </w:tcPr>
          <w:p>
            <w:pPr>
              <w:jc w:val="center"/>
            </w:pPr>
            <w:r>
              <w:rPr/>
              <w:t xml:space="preserve">70.20%</w:t>
            </w:r>
          </w:p>
        </w:tc>
      </w:tr>
    </w:tbl>
    <w:p/>
    <w:p>
      <w:pPr>
        <w:jc w:val="right"/>
      </w:pPr>
      <w:r>
        <w:rPr>
          <w:b w:val="1"/>
          <w:bCs w:val="1"/>
        </w:rPr>
        <w:t xml:space="preserve">Pekanbaru, 26 September 2024</w:t>
      </w:r>
    </w:p>
    <w:p/>
    <w:p/>
    <w:p/>
    <w:p>
      <w:pPr>
        <w:jc w:val="right"/>
      </w:pPr>
      <w:r>
        <w:rPr>
          <w:b w:val="1"/>
          <w:bCs w:val="1"/>
        </w:rPr>
        <w:t xml:space="preserve">Ketua Pengadilan Negeri</w:t>
      </w:r>
    </w:p>
    <w:sectPr>
      <w:pgSz w:orient="portrait" w:w="11905.511811023622" w:h="16837.79527559055"/>
      <w:pgMar w:top="283.4645669291338" w:right="1440" w:bottom="566.9291338582676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 Table">
    <w:name w:val="Fancy Table"/>
    <w:uiPriority w:val="99"/>
    <w:tblPr>
      <w:tblW w:w="0" w:type="auto"/>
      <w:tblLayout w:type="autofit"/>
      <w:tblCellMar>
        <w:top w:w="30" w:type="dxa"/>
        <w:left w:w="30" w:type="dxa"/>
        <w:right w:w="30" w:type="dxa"/>
        <w:bottom w:w="3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305496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2024-09-26T15:34:51+07:00</dcterms:created>
  <dcterms:modified xsi:type="dcterms:W3CDTF">2024-09-26T15:34:51+07:00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